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xml" PartName="/customXML/item1.xml"/>
  <Override ContentType="application/vnd.openxmlformats-officedocument.wordprocessingml.styles+xml" PartName="/word/styles.xml"/>
  <Override ContentType="application/vnd.openxmlformats-officedocument.wordprocessingml.fontTable+xml" PartName="/word/fontTable.xml"/>
  <Override ContentType="application/vnd.openxmlformats-package.core-properties+xml" PartName="/docProps/core.xml"/>
  <Override ContentType="application/vnd.openxmlformats-officedocument.drawingml.chart+xml" PartName="/word/charts/chart1.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settings+xml" PartName="/word/settings.xml"/>
  <Override ContentType="application/vnd.openxmlformats-officedocument.customXmlProperties+xml" PartName="/customXML/itemProps1.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drawingml.chartshapes+xml" PartName="/word/drawings/drawing1.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bCs w:val="1"/>
          <w:sz w:val="24"/>
          <w:szCs w:val="24"/>
        </w:rPr>
      </w:pPr>
      <w:bookmarkStart w:colFirst="0" w:colLast="0" w:name="_heading=h.5bdpw9b23jv" w:id="0"/>
      <w:bookmarkEnd w:id="0"/>
      <w:r w:rsidDel="00000000" w:rsidR="00000000" w:rsidRPr="00000000">
        <w:rPr>
          <w:rFonts w:ascii="Times New Roman" w:cs="Times New Roman" w:eastAsia="Times New Roman" w:hAnsi="Times New Roman"/>
          <w:b w:val="1"/>
          <w:bCs w:val="1"/>
          <w:sz w:val="24"/>
          <w:szCs w:val="24"/>
          <w:rtl w:val="0"/>
        </w:rPr>
        <w:t xml:space="preserve">Título do manuscrito em inglês (máximo de 15 palavras, centralizado e em negrito, com apenas a primeira palavra com letra inicial em maiúscula – à exceção de nomes próprios)</w:t>
      </w:r>
    </w:p>
    <w:p w:rsidR="00000000" w:rsidDel="00000000" w:rsidP="00000000" w:rsidRDefault="00000000" w:rsidRPr="00000000" w14:paraId="00000002">
      <w:pPr>
        <w:spacing w:line="480" w:lineRule="auto"/>
        <w:jc w:val="center"/>
        <w:rPr>
          <w:rFonts w:ascii="Times New Roman" w:cs="Times New Roman" w:eastAsia="Times New Roman" w:hAnsi="Times New Roman"/>
          <w:color w:val="333333"/>
          <w:sz w:val="24"/>
          <w:szCs w:val="24"/>
        </w:rPr>
      </w:pPr>
      <w:r w:rsidDel="00000000" w:rsidR="00000000" w:rsidRPr="00000000">
        <w:rPr>
          <w:rtl w:val="0"/>
        </w:rPr>
      </w:r>
    </w:p>
    <w:p w:rsidR="00000000" w:rsidDel="00000000" w:rsidP="00000000" w:rsidRDefault="00000000" w:rsidRPr="00000000" w14:paraId="00000003">
      <w:pPr>
        <w:spacing w:line="480" w:lineRule="auto"/>
        <w:jc w:val="both"/>
        <w:rPr>
          <w:rFonts w:ascii="Times New Roman" w:cs="Times New Roman" w:eastAsia="Times New Roman" w:hAnsi="Times New Roman"/>
          <w:color w:val="ee0000"/>
          <w:sz w:val="24"/>
          <w:szCs w:val="24"/>
        </w:rPr>
      </w:pPr>
      <w:bookmarkStart w:colFirst="0" w:colLast="0" w:name="_heading=h.756no070h0si" w:id="1"/>
      <w:bookmarkEnd w:id="1"/>
      <w:r w:rsidDel="00000000" w:rsidR="00000000" w:rsidRPr="00000000">
        <w:rPr>
          <w:rFonts w:ascii="Times New Roman" w:cs="Times New Roman" w:eastAsia="Times New Roman" w:hAnsi="Times New Roman"/>
          <w:b w:val="1"/>
          <w:bCs w:val="1"/>
          <w:color w:val="ee0000"/>
          <w:sz w:val="24"/>
          <w:szCs w:val="24"/>
          <w:rtl w:val="0"/>
        </w:rPr>
        <w:t xml:space="preserve">Observação</w:t>
      </w:r>
      <w:r w:rsidDel="00000000" w:rsidR="00000000" w:rsidRPr="00000000">
        <w:rPr>
          <w:rFonts w:ascii="Times New Roman" w:cs="Times New Roman" w:eastAsia="Times New Roman" w:hAnsi="Times New Roman"/>
          <w:color w:val="ee0000"/>
          <w:sz w:val="24"/>
          <w:szCs w:val="24"/>
          <w:rtl w:val="0"/>
        </w:rPr>
        <w:t xml:space="preserve">: Os dados dos autores (nome completo, ORCID, afiliação e e-mail) devem ser inseridos apenas no sistema de submissão. Remova qualquer identificação dos autores no arquivo do Word. Esses dados serão incorporados ao texto definitivo somente após a aprovação e a revisão por pares.</w:t>
      </w:r>
    </w:p>
    <w:p w:rsidR="00000000" w:rsidDel="00000000" w:rsidP="00000000" w:rsidRDefault="00000000" w:rsidRPr="00000000" w14:paraId="00000004">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color w:val="000000"/>
          <w:sz w:val="24"/>
          <w:szCs w:val="24"/>
          <w:u w:val="none"/>
          <w:rtl w:val="0"/>
        </w:rPr>
        <w:t xml:space="preserve">Abstract</w:t>
      </w:r>
      <w:r w:rsidDel="00000000" w:rsidR="00000000" w:rsidRPr="00000000">
        <w:rPr>
          <w:rFonts w:ascii="Times New Roman" w:cs="Times New Roman" w:eastAsia="Times New Roman" w:hAnsi="Times New Roman"/>
          <w:color w:val="000000"/>
          <w:sz w:val="24"/>
          <w:szCs w:val="24"/>
          <w:u w:val="none"/>
          <w:rtl w:val="0"/>
        </w:rPr>
        <w:t xml:space="preserve"> – </w:t>
      </w:r>
      <w:r w:rsidDel="00000000" w:rsidR="00000000" w:rsidRPr="00000000">
        <w:rPr>
          <w:rFonts w:ascii="Times New Roman" w:cs="Times New Roman" w:eastAsia="Times New Roman" w:hAnsi="Times New Roman"/>
          <w:sz w:val="24"/>
          <w:szCs w:val="24"/>
          <w:highlight w:val="white"/>
          <w:rtl w:val="0"/>
        </w:rPr>
        <w:t xml:space="preserve">Máximo de 200 palavras. Deve ser um parágrafo único, sem citações bibliográficas ou abreviaturas. Deve apresentar resumidamente: objetivo, material e métodos, resultados e conclusão (esta última com verbos no presente do indicativo).</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line="48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line="480"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bCs w:val="1"/>
          <w:sz w:val="24"/>
          <w:szCs w:val="24"/>
          <w:highlight w:val="white"/>
          <w:rtl w:val="0"/>
        </w:rPr>
        <w:t xml:space="preserve">Index terms</w:t>
      </w:r>
      <w:r w:rsidDel="00000000" w:rsidR="00000000" w:rsidRPr="00000000">
        <w:rPr>
          <w:rFonts w:ascii="Times New Roman" w:cs="Times New Roman" w:eastAsia="Times New Roman" w:hAnsi="Times New Roman"/>
          <w:sz w:val="24"/>
          <w:szCs w:val="24"/>
          <w:highlight w:val="white"/>
          <w:rtl w:val="0"/>
        </w:rPr>
        <w:t xml:space="preserve">: De 3 a 6 termos, em ordem alfabética, separados por vírgula e iniciados com letra minúscula (exceto nomes próprios e nomes científicos – binômios). Não utilize palavras que já constam no título. Recomenda-se o uso do </w:t>
      </w:r>
      <w:hyperlink r:id="rId7">
        <w:r w:rsidDel="00000000" w:rsidR="00000000" w:rsidRPr="00000000">
          <w:rPr>
            <w:rFonts w:ascii="Times New Roman" w:cs="Times New Roman" w:eastAsia="Times New Roman" w:hAnsi="Times New Roman"/>
            <w:color w:val="0000ff"/>
            <w:sz w:val="24"/>
            <w:szCs w:val="24"/>
            <w:highlight w:val="white"/>
            <w:u w:val="single"/>
            <w:rtl w:val="0"/>
          </w:rPr>
          <w:t xml:space="preserve">AGROVOC</w:t>
        </w:r>
      </w:hyperlink>
      <w:r w:rsidDel="00000000" w:rsidR="00000000" w:rsidRPr="00000000">
        <w:rPr>
          <w:rFonts w:ascii="Times New Roman" w:cs="Times New Roman" w:eastAsia="Times New Roman" w:hAnsi="Times New Roman"/>
          <w:sz w:val="24"/>
          <w:szCs w:val="24"/>
          <w:highlight w:val="white"/>
          <w:rtl w:val="0"/>
        </w:rPr>
        <w:t xml:space="preserve">.</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9">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Título do manuscrito em português (máximo de 15 palavras, centralizado e em negrito, com apenas a primeira palavra com letra inicial em maiúscula – à exceção de nomes próprios)</w:t>
      </w:r>
    </w:p>
    <w:p w:rsidR="00000000" w:rsidDel="00000000" w:rsidP="00000000" w:rsidRDefault="00000000" w:rsidRPr="00000000" w14:paraId="0000000A">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Resumo</w:t>
      </w:r>
      <w:r w:rsidDel="00000000" w:rsidR="00000000" w:rsidRPr="00000000">
        <w:rPr>
          <w:rFonts w:ascii="Times New Roman" w:cs="Times New Roman" w:eastAsia="Times New Roman" w:hAnsi="Times New Roman"/>
          <w:sz w:val="24"/>
          <w:szCs w:val="24"/>
          <w:rtl w:val="0"/>
        </w:rPr>
        <w:t xml:space="preserve"> – </w:t>
      </w:r>
      <w:r w:rsidDel="00000000" w:rsidR="00000000" w:rsidRPr="00000000">
        <w:rPr>
          <w:rFonts w:ascii="Times New Roman" w:cs="Times New Roman" w:eastAsia="Times New Roman" w:hAnsi="Times New Roman"/>
          <w:sz w:val="24"/>
          <w:szCs w:val="24"/>
          <w:highlight w:val="white"/>
          <w:rtl w:val="0"/>
        </w:rPr>
        <w:t xml:space="preserve">Máximo de 200 palavras. Deve ser um parágrafo único, sem citações bibliográficas ou abreviaturas. Deve apresentar resumidamente: objetivo, material e métodos, resultados e conclusão (esta última com verbos no presente do indicativo)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C">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Termos para indexação</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sz w:val="24"/>
          <w:szCs w:val="24"/>
          <w:highlight w:val="white"/>
          <w:rtl w:val="0"/>
        </w:rPr>
        <w:t xml:space="preserve">De 3 a 6 termos, seguindo a ordem alfabética do termo correspondente em inglês, separados por vírgula e iniciados com letra minúscula (exceto nomes próprios e nomes científicos – binômios). Não utilize palavras que já constam no título. Recomenda-se o uso do </w:t>
      </w:r>
      <w:hyperlink r:id="rId8">
        <w:r w:rsidDel="00000000" w:rsidR="00000000" w:rsidRPr="00000000">
          <w:rPr>
            <w:rFonts w:ascii="Times New Roman" w:cs="Times New Roman" w:eastAsia="Times New Roman" w:hAnsi="Times New Roman"/>
            <w:color w:val="0000ff"/>
            <w:sz w:val="24"/>
            <w:szCs w:val="24"/>
            <w:highlight w:val="white"/>
            <w:u w:val="single"/>
            <w:rtl w:val="0"/>
          </w:rPr>
          <w:t xml:space="preserve">AGROVOC</w:t>
        </w:r>
      </w:hyperlink>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0D">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line="480" w:lineRule="auto"/>
        <w:jc w:val="center"/>
        <w:rPr>
          <w:rFonts w:ascii="Times New Roman" w:cs="Times New Roman" w:eastAsia="Times New Roman" w:hAnsi="Times New Roman"/>
          <w:b w:val="1"/>
          <w:bCs w:val="1"/>
          <w:color w:val="000000"/>
          <w:sz w:val="24"/>
          <w:szCs w:val="24"/>
          <w:u w:val="none"/>
        </w:rPr>
      </w:pPr>
      <w:r w:rsidDel="00000000" w:rsidR="00000000" w:rsidRPr="00000000">
        <w:rPr>
          <w:rFonts w:ascii="Times New Roman" w:cs="Times New Roman" w:eastAsia="Times New Roman" w:hAnsi="Times New Roman"/>
          <w:b w:val="1"/>
          <w:bCs w:val="1"/>
          <w:color w:val="000000"/>
          <w:sz w:val="24"/>
          <w:szCs w:val="24"/>
          <w:u w:val="none"/>
          <w:rtl w:val="0"/>
        </w:rPr>
        <w:t xml:space="preserve">Introduction</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 apresentar a justificativa, a importância do problema científico e sua relação com a literatura.</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line="480" w:lineRule="auto"/>
        <w:ind w:firstLine="72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 último parágrafo deve conter o objetivo do trabalho conforme apresentado no Abstract.</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line="480" w:lineRule="auto"/>
        <w:jc w:val="center"/>
        <w:rPr>
          <w:rFonts w:ascii="Times New Roman" w:cs="Times New Roman" w:eastAsia="Times New Roman" w:hAnsi="Times New Roman"/>
          <w:b w:val="1"/>
          <w:bCs w:val="1"/>
          <w:color w:val="000000"/>
          <w:sz w:val="24"/>
          <w:szCs w:val="24"/>
          <w:u w:val="none"/>
        </w:rPr>
      </w:pPr>
      <w:r w:rsidDel="00000000" w:rsidR="00000000" w:rsidRPr="00000000">
        <w:rPr>
          <w:rFonts w:ascii="Times New Roman" w:cs="Times New Roman" w:eastAsia="Times New Roman" w:hAnsi="Times New Roman"/>
          <w:b w:val="1"/>
          <w:bCs w:val="1"/>
          <w:color w:val="000000"/>
          <w:sz w:val="24"/>
          <w:szCs w:val="24"/>
          <w:u w:val="none"/>
          <w:rtl w:val="0"/>
        </w:rPr>
        <w:t xml:space="preserve">Materials and Methods</w:t>
      </w:r>
    </w:p>
    <w:p w:rsidR="00000000" w:rsidDel="00000000" w:rsidP="00000000" w:rsidRDefault="00000000" w:rsidRPr="00000000" w14:paraId="00000012">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Descrição breve, porém suficiente para que o experimento seja repetido por outros pesquisadores. Deve incluir local, data, delineamento, tratamentos, variáveis, número de repetições, tamanho da unidade experimental, métodos estatísticos e transformação de dados.</w:t>
      </w:r>
    </w:p>
    <w:p w:rsidR="00000000" w:rsidDel="00000000" w:rsidP="00000000" w:rsidRDefault="00000000" w:rsidRPr="00000000" w14:paraId="00000013">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unidades devem seguir o </w:t>
      </w:r>
      <w:hyperlink r:id="rId9">
        <w:r w:rsidDel="00000000" w:rsidR="00000000" w:rsidRPr="00000000">
          <w:rPr>
            <w:rFonts w:ascii="Times New Roman" w:cs="Times New Roman" w:eastAsia="Times New Roman" w:hAnsi="Times New Roman"/>
            <w:color w:val="0000ff"/>
            <w:sz w:val="24"/>
            <w:szCs w:val="24"/>
            <w:u w:val="single"/>
            <w:rtl w:val="0"/>
          </w:rPr>
          <w:t xml:space="preserve">Sistema Internacional (SI)</w:t>
        </w:r>
      </w:hyperlink>
      <w:r w:rsidDel="00000000" w:rsidR="00000000" w:rsidRPr="00000000">
        <w:rPr>
          <w:rFonts w:ascii="Times New Roman" w:cs="Times New Roman" w:eastAsia="Times New Roman" w:hAnsi="Times New Roman"/>
          <w:sz w:val="24"/>
          <w:szCs w:val="24"/>
          <w:rtl w:val="0"/>
        </w:rPr>
        <w:t xml:space="preserve">. Utilize expoentes para unidades compostas. Exemplo: g L</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em vez de g/L e kg ha</w:t>
      </w: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 em vez de kg/ha. Para indicar decimais, utilize o ponto em trechos em inglês (exemplo: 10.5 kg) e a vírgula nos em português (Resumo) (exemplo: 10,5 kg). Abrevie segundo (s) e minuto (min), mas escreva por extenso hora, dia e ano.</w:t>
      </w:r>
    </w:p>
    <w:p w:rsidR="00000000" w:rsidDel="00000000" w:rsidP="00000000" w:rsidRDefault="00000000" w:rsidRPr="00000000" w14:paraId="00000014">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estudos envolvendo seres humanos ou animais, é obrigatório informar o nome do Comitê de Ética, a instituição vinculada e o número do protocolo de aprovação. Caso o projeto não tenha sido submetido a um comitê, os autores deverão anexar, no ato da submissão, uma declaração fundamentada justificando a dispensa da avaliação ética conforme a legislação vigente.</w:t>
      </w:r>
    </w:p>
    <w:p w:rsidR="00000000" w:rsidDel="00000000" w:rsidP="00000000" w:rsidRDefault="00000000" w:rsidRPr="00000000" w14:paraId="00000015">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sequências biológicas, é necessário informar o banco de dados (GenBank, EMBL ou DDBJ) e o número de acesso oficial.</w:t>
      </w:r>
    </w:p>
    <w:p w:rsidR="00000000" w:rsidDel="00000000" w:rsidP="00000000" w:rsidRDefault="00000000" w:rsidRPr="00000000" w14:paraId="00000016">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Evite</w:t>
      </w:r>
      <w:r w:rsidDel="00000000" w:rsidR="00000000" w:rsidRPr="00000000">
        <w:rPr>
          <w:rFonts w:ascii="Times New Roman" w:cs="Times New Roman" w:eastAsia="Times New Roman" w:hAnsi="Times New Roman"/>
          <w:sz w:val="24"/>
          <w:szCs w:val="24"/>
          <w:rtl w:val="0"/>
        </w:rPr>
        <w:t xml:space="preserve">: Uso de abreviações ou siglas, detalhes supérfluos e descrições extensas de técnicas de uso corrente.</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480" w:lineRule="auto"/>
        <w:jc w:val="center"/>
        <w:rPr>
          <w:rFonts w:ascii="Times New Roman" w:cs="Times New Roman" w:eastAsia="Times New Roman" w:hAnsi="Times New Roman"/>
          <w:b w:val="1"/>
          <w:bCs w:val="1"/>
          <w:color w:val="000000"/>
          <w:sz w:val="24"/>
          <w:szCs w:val="24"/>
          <w:u w:val="none"/>
        </w:rPr>
      </w:pPr>
      <w:r w:rsidDel="00000000" w:rsidR="00000000" w:rsidRPr="00000000">
        <w:rPr>
          <w:rFonts w:ascii="Times New Roman" w:cs="Times New Roman" w:eastAsia="Times New Roman" w:hAnsi="Times New Roman"/>
          <w:b w:val="1"/>
          <w:bCs w:val="1"/>
          <w:color w:val="000000"/>
          <w:sz w:val="24"/>
          <w:szCs w:val="24"/>
          <w:u w:val="none"/>
          <w:rtl w:val="0"/>
        </w:rPr>
        <w:t xml:space="preserve">Results and Discussion</w:t>
      </w:r>
    </w:p>
    <w:p w:rsidR="00000000" w:rsidDel="00000000" w:rsidP="00000000" w:rsidRDefault="00000000" w:rsidRPr="00000000" w14:paraId="00000018">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Os resultados podem ser apresentados em conjunto ou separadamente. Devem focar nos dados obtidos, os discutindo e interpretando à luz da literatura, preferencialmente dos últimos 10 anos.</w:t>
      </w:r>
    </w:p>
    <w:p w:rsidR="00000000" w:rsidDel="00000000" w:rsidP="00000000" w:rsidRDefault="00000000" w:rsidRPr="00000000" w14:paraId="00000019">
      <w:pPr>
        <w:spacing w:line="480" w:lineRule="auto"/>
        <w:ind w:firstLine="567"/>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citações no texto devem seguir os seguintes formatos: 1 autor – Souza Neto (2022) ou (Souza Neto, 2022); 2 autores – Silva &amp; Costa (2019) ou (Silva &amp; Costa, 2019); ou 3 ou mais autores – Santos et al. (2023) ou (Santos et al., 2023).</w:t>
      </w:r>
    </w:p>
    <w:p w:rsidR="00000000" w:rsidDel="00000000" w:rsidP="00000000" w:rsidRDefault="00000000" w:rsidRPr="00000000" w14:paraId="0000001A">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Gráficos, desenhos, mapas e fotografias devem ser utilizados apenas quando indispensáveis para a compreensão dos dados. As tabelas e as figuras deverão ser autoexplicativas e inseridas após as referências (primeiro as tabelas e depois as figuras). As informações apresentadas em tabelas ou figuras não devem ser replicadas entre si, nem repetidas no corpo do artigo. De preferência, coloque as chamadas das tabelas (Tabela 1) e figuras (Figura 1 e Figura 2 A) entre parênteses.</w:t>
      </w:r>
    </w:p>
    <w:p w:rsidR="00000000" w:rsidDel="00000000" w:rsidP="00000000" w:rsidRDefault="00000000" w:rsidRPr="00000000" w14:paraId="0000001B">
      <w:pPr>
        <w:spacing w:line="480" w:lineRule="auto"/>
        <w:ind w:firstLine="567"/>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spacing w:line="48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Conclusions</w:t>
      </w:r>
    </w:p>
    <w:p w:rsidR="00000000" w:rsidDel="00000000" w:rsidP="00000000" w:rsidRDefault="00000000" w:rsidRPr="00000000" w14:paraId="0000001D">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Devem ser numeradas (até 5) e escritas de forma sucinta, baseadas apenas nos resultados apresentados. Utilize o verbo no presente do indicativo.</w:t>
      </w:r>
    </w:p>
    <w:p w:rsidR="00000000" w:rsidDel="00000000" w:rsidP="00000000" w:rsidRDefault="00000000" w:rsidRPr="00000000" w14:paraId="0000001E">
      <w:pPr>
        <w:spacing w:line="480" w:lineRule="auto"/>
        <w:ind w:firstLine="56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Caso haja apenas uma conclusão, utilize o formato de parágrafo único e o termo “</w:t>
      </w:r>
      <w:r w:rsidDel="00000000" w:rsidR="00000000" w:rsidRPr="00000000">
        <w:rPr>
          <w:rFonts w:ascii="Times New Roman" w:cs="Times New Roman" w:eastAsia="Times New Roman" w:hAnsi="Times New Roman"/>
          <w:b w:val="1"/>
          <w:bCs w:val="1"/>
          <w:sz w:val="24"/>
          <w:szCs w:val="24"/>
          <w:rtl w:val="0"/>
        </w:rPr>
        <w:t xml:space="preserve">Conclusion</w:t>
      </w:r>
      <w:r w:rsidDel="00000000" w:rsidR="00000000" w:rsidRPr="00000000">
        <w:rPr>
          <w:rFonts w:ascii="Times New Roman" w:cs="Times New Roman" w:eastAsia="Times New Roman" w:hAnsi="Times New Roman"/>
          <w:sz w:val="24"/>
          <w:szCs w:val="24"/>
          <w:rtl w:val="0"/>
        </w:rPr>
        <w:t xml:space="preserve">” no singular.</w:t>
      </w:r>
    </w:p>
    <w:p w:rsidR="00000000" w:rsidDel="00000000" w:rsidP="00000000" w:rsidRDefault="00000000" w:rsidRPr="00000000" w14:paraId="0000001F">
      <w:pPr>
        <w:spacing w:line="480" w:lineRule="auto"/>
        <w:jc w:val="center"/>
        <w:rPr>
          <w:rFonts w:ascii="Times New Roman" w:cs="Times New Roman" w:eastAsia="Times New Roman" w:hAnsi="Times New Roman"/>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480" w:lineRule="auto"/>
        <w:ind w:left="0" w:right="0" w:firstLine="0"/>
        <w:jc w:val="center"/>
        <w:rPr>
          <w:rFonts w:ascii="Times New Roman" w:cs="Times New Roman" w:eastAsia="Times New Roman" w:hAnsi="Times New Roman"/>
          <w:b w:val="1"/>
          <w:bCs w:val="1"/>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4"/>
          <w:szCs w:val="24"/>
          <w:u w:val="none"/>
          <w:shd w:fill="auto" w:val="clear"/>
          <w:vertAlign w:val="baseline"/>
          <w:rtl w:val="0"/>
        </w:rPr>
        <w:t xml:space="preserve">References</w:t>
      </w:r>
    </w:p>
    <w:p w:rsidR="00000000" w:rsidDel="00000000" w:rsidP="00000000" w:rsidRDefault="00000000" w:rsidRPr="00000000" w14:paraId="0000002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PAB adota a NBR 10520 (citações) e NBR 6023 (referências) da ABNT, com adaptações.</w:t>
      </w:r>
    </w:p>
    <w:p w:rsidR="00000000" w:rsidDel="00000000" w:rsidP="00000000" w:rsidRDefault="00000000" w:rsidRPr="00000000" w14:paraId="0000002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Máximo de 40 referências. Pelo menos 70% de artigos de periódicos dos últimos 10 anos.</w:t>
      </w:r>
    </w:p>
    <w:p w:rsidR="00000000" w:rsidDel="00000000" w:rsidP="00000000" w:rsidRDefault="00000000" w:rsidRPr="00000000" w14:paraId="0000002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Devem ser apresentadas em ordem alfabética pelo sobrenome do primeiro autor, na língua em que foram publicadas oficialmente. Inclua o DOI ao final de cada referência, sempre que disponível.</w:t>
      </w:r>
    </w:p>
    <w:p w:rsidR="00000000" w:rsidDel="00000000" w:rsidP="00000000" w:rsidRDefault="00000000" w:rsidRPr="00000000" w14:paraId="0000002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Devem conter os nomes de todos os autores.</w:t>
      </w:r>
    </w:p>
    <w:p w:rsidR="00000000" w:rsidDel="00000000" w:rsidP="00000000" w:rsidRDefault="00000000" w:rsidRPr="00000000" w14:paraId="0000002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São aceitas apenas referências originais, isto é, não devem haver citações do tipo apud ou citado por.</w:t>
      </w:r>
    </w:p>
    <w:p w:rsidR="00000000" w:rsidDel="00000000" w:rsidP="00000000" w:rsidRDefault="00000000" w:rsidRPr="00000000" w14:paraId="00000026">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Não são aceitas citações nem referências de resumos, preprints (apenas excepcionalmente), comunicações pessoais ou documentos no prelo.</w:t>
      </w:r>
    </w:p>
    <w:p w:rsidR="00000000" w:rsidDel="00000000" w:rsidP="00000000" w:rsidRDefault="00000000" w:rsidRPr="00000000" w14:paraId="0000002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Seguem exemplos:</w:t>
      </w:r>
    </w:p>
    <w:p w:rsidR="00000000" w:rsidDel="00000000" w:rsidP="00000000" w:rsidRDefault="00000000" w:rsidRPr="00000000" w14:paraId="00000028">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Artigo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9">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ROSSETIM, M.F.T.; MOTTA, A.C.V.; KONDO, Y.R.; RUTHES, B.E.S.; HUNGRIA, M.; SALLES, J.F.; KASCHUK, G. Enhancing soybean yield through inoculation of multifunctional microbial consortia. </w:t>
      </w:r>
      <w:r w:rsidDel="00000000" w:rsidR="00000000" w:rsidRPr="00000000">
        <w:rPr>
          <w:rFonts w:ascii="Times New Roman" w:cs="Times New Roman" w:eastAsia="Times New Roman" w:hAnsi="Times New Roman"/>
          <w:b w:val="1"/>
          <w:bCs w:val="1"/>
          <w:sz w:val="24"/>
          <w:szCs w:val="24"/>
          <w:rtl w:val="0"/>
        </w:rPr>
        <w:t xml:space="preserve">International Journal of Agronomy</w:t>
      </w:r>
      <w:r w:rsidDel="00000000" w:rsidR="00000000" w:rsidRPr="00000000">
        <w:rPr>
          <w:rFonts w:ascii="Times New Roman" w:cs="Times New Roman" w:eastAsia="Times New Roman" w:hAnsi="Times New Roman"/>
          <w:sz w:val="24"/>
          <w:szCs w:val="24"/>
          <w:rtl w:val="0"/>
        </w:rPr>
        <w:t xml:space="preserve">, v.2025, art.9491715, 2025. DOI: https://doi.org/10.1155/ioa/9491715.</w:t>
      </w:r>
    </w:p>
    <w:p w:rsidR="00000000" w:rsidDel="00000000" w:rsidP="00000000" w:rsidRDefault="00000000" w:rsidRPr="00000000" w14:paraId="0000002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Artigo em eventos (apenas trabalhos completos são aceitos)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SILVA, M.V.G.B.; VERARDO, L.L.; MACHADO, M.A.; PANETTO, J.C.C.; CAROLINO, I.; CAROLINO, N. Candidate genes for disease, reproduction and meat quality traits in Portuguese native breeds. In: WORLD CONGRESS ON GENETICS APPLIED TO LIVESTOCK PRODUCTION, 12., 2022, Rotterdam. </w:t>
      </w:r>
      <w:r w:rsidDel="00000000" w:rsidR="00000000" w:rsidRPr="00000000">
        <w:rPr>
          <w:rFonts w:ascii="Times New Roman" w:cs="Times New Roman" w:eastAsia="Times New Roman" w:hAnsi="Times New Roman"/>
          <w:b w:val="1"/>
          <w:bCs w:val="1"/>
          <w:sz w:val="24"/>
          <w:szCs w:val="24"/>
          <w:rtl w:val="0"/>
        </w:rPr>
        <w:t xml:space="preserve">Proceedings</w:t>
      </w:r>
      <w:r w:rsidDel="00000000" w:rsidR="00000000" w:rsidRPr="00000000">
        <w:rPr>
          <w:rFonts w:ascii="Times New Roman" w:cs="Times New Roman" w:eastAsia="Times New Roman" w:hAnsi="Times New Roman"/>
          <w:sz w:val="24"/>
          <w:szCs w:val="24"/>
          <w:rtl w:val="0"/>
        </w:rPr>
        <w:t xml:space="preserve">. Wageningen: Wageningen Academic, 2022. p.960-963. Edited by R.F. Veerkamp and y. de Haas. Available at: https://www.alice.cnptia.embrapa.br/alice/bitstream/doc/1150087/1/Candidate-genes-for-disease-reproduction.pdf. Accessed on: Mar. 25 2026.</w:t>
      </w:r>
    </w:p>
    <w:p w:rsidR="00000000" w:rsidDel="00000000" w:rsidP="00000000" w:rsidRDefault="00000000" w:rsidRPr="00000000" w14:paraId="0000002C">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Capítulo de livro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D">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SHAHZAD, A.; PARVEEN, S.; SHARMA, S.; SHAHEEN, A.; SAEED, T.; YADAV, V.; AKHTAR, R.; AHMAD, Z.; UPADHYAY, A. Plant tissue culture: applications in plant improvement and conservation. In: ABDIN, M.Z.; KIRAN, U.; KAMALUDDIN; ALI, A. (Ed.). </w:t>
      </w:r>
      <w:r w:rsidDel="00000000" w:rsidR="00000000" w:rsidRPr="00000000">
        <w:rPr>
          <w:rFonts w:ascii="Times New Roman" w:cs="Times New Roman" w:eastAsia="Times New Roman" w:hAnsi="Times New Roman"/>
          <w:b w:val="1"/>
          <w:bCs w:val="1"/>
          <w:sz w:val="24"/>
          <w:szCs w:val="24"/>
          <w:rtl w:val="0"/>
        </w:rPr>
        <w:t xml:space="preserve">Plant biotechnology</w:t>
      </w:r>
      <w:r w:rsidDel="00000000" w:rsidR="00000000" w:rsidRPr="00000000">
        <w:rPr>
          <w:rFonts w:ascii="Times New Roman" w:cs="Times New Roman" w:eastAsia="Times New Roman" w:hAnsi="Times New Roman"/>
          <w:sz w:val="24"/>
          <w:szCs w:val="24"/>
          <w:rtl w:val="0"/>
        </w:rPr>
        <w:t xml:space="preserve">: principles and applications. Singapore: Springer, 2017. p.37-72. DOI: https://doi.org/10.1007/978-981-10-2961-5_2.</w:t>
      </w:r>
    </w:p>
    <w:p w:rsidR="00000000" w:rsidDel="00000000" w:rsidP="00000000" w:rsidRDefault="00000000" w:rsidRPr="00000000" w14:paraId="0000002E">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Livro</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2F">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SANTOS, H.G. dos; JACOMINE, P.K.T.; ANJOS, L.H.C. dos; OLIVEIRA, V.Á. de; LUMBRERAS, J.F.; COELHO, M.R.; ALMEIDA, J.A. de; ARAÚJO FILHO, J.C. de; LIMA, H.N.; MARQUES, F.A.; OLIVEIRA, J.B. de; CUNHA, T.J.F. </w:t>
      </w:r>
      <w:r w:rsidDel="00000000" w:rsidR="00000000" w:rsidRPr="00000000">
        <w:rPr>
          <w:rFonts w:ascii="Times New Roman" w:cs="Times New Roman" w:eastAsia="Times New Roman" w:hAnsi="Times New Roman"/>
          <w:b w:val="1"/>
          <w:bCs w:val="1"/>
          <w:sz w:val="24"/>
          <w:szCs w:val="24"/>
          <w:rtl w:val="0"/>
        </w:rPr>
        <w:t xml:space="preserve">Sistema Brasileiro de Classificação de Solos</w:t>
      </w:r>
      <w:r w:rsidDel="00000000" w:rsidR="00000000" w:rsidRPr="00000000">
        <w:rPr>
          <w:rFonts w:ascii="Times New Roman" w:cs="Times New Roman" w:eastAsia="Times New Roman" w:hAnsi="Times New Roman"/>
          <w:sz w:val="24"/>
          <w:szCs w:val="24"/>
          <w:rtl w:val="0"/>
        </w:rPr>
        <w:t xml:space="preserve">. 6.ed. rev. e ampl. Brasília: Embrapa, 2025. 393p.</w:t>
      </w:r>
    </w:p>
    <w:p w:rsidR="00000000" w:rsidDel="00000000" w:rsidP="00000000" w:rsidRDefault="00000000" w:rsidRPr="00000000" w14:paraId="00000030">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Fonte eletrônica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AGRITEMPO: Sistema de Monitoramento Agrometeorológico. Available at: https://www.agritempo.gov.br/br/. Accessed on: Mar. 25 2026.</w:t>
      </w:r>
    </w:p>
    <w:p w:rsidR="00000000" w:rsidDel="00000000" w:rsidP="00000000" w:rsidRDefault="00000000" w:rsidRPr="00000000" w14:paraId="0000003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Dissertação / Tese</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FERREIRA, N. dos S. </w:t>
      </w:r>
      <w:r w:rsidDel="00000000" w:rsidR="00000000" w:rsidRPr="00000000">
        <w:rPr>
          <w:rFonts w:ascii="Times New Roman" w:cs="Times New Roman" w:eastAsia="Times New Roman" w:hAnsi="Times New Roman"/>
          <w:b w:val="1"/>
          <w:bCs w:val="1"/>
          <w:sz w:val="24"/>
          <w:szCs w:val="24"/>
          <w:rtl w:val="0"/>
        </w:rPr>
        <w:t xml:space="preserve">Biotransformação do arsênio inorgânico (As-i) em Tilápias do Nilo (</w:t>
      </w:r>
      <w:r w:rsidDel="00000000" w:rsidR="00000000" w:rsidRPr="00000000">
        <w:rPr>
          <w:rFonts w:ascii="Times New Roman" w:cs="Times New Roman" w:eastAsia="Times New Roman" w:hAnsi="Times New Roman"/>
          <w:b w:val="1"/>
          <w:bCs w:val="1"/>
          <w:i w:val="1"/>
          <w:iCs w:val="1"/>
          <w:sz w:val="24"/>
          <w:szCs w:val="24"/>
          <w:rtl w:val="0"/>
        </w:rPr>
        <w:t xml:space="preserve">Oreochromis niloticus</w:t>
      </w:r>
      <w:r w:rsidDel="00000000" w:rsidR="00000000" w:rsidRPr="00000000">
        <w:rPr>
          <w:rFonts w:ascii="Times New Roman" w:cs="Times New Roman" w:eastAsia="Times New Roman" w:hAnsi="Times New Roman"/>
          <w:b w:val="1"/>
          <w:bCs w:val="1"/>
          <w:sz w:val="24"/>
          <w:szCs w:val="24"/>
          <w:rtl w:val="0"/>
        </w:rPr>
        <w:t xml:space="preserve">) e avaliação de seu antagonismo na presença de selênio</w:t>
      </w:r>
      <w:r w:rsidDel="00000000" w:rsidR="00000000" w:rsidRPr="00000000">
        <w:rPr>
          <w:rFonts w:ascii="Times New Roman" w:cs="Times New Roman" w:eastAsia="Times New Roman" w:hAnsi="Times New Roman"/>
          <w:sz w:val="24"/>
          <w:szCs w:val="24"/>
          <w:rtl w:val="0"/>
        </w:rPr>
        <w:t xml:space="preserve">. 2024. 111p. Tese (Doutorado) – Universidade Estadual Paulista Júlio de Mesquita Filho, São José do Rio Preto. Available at: https://www.alice.cnptia.embrapa.br/alice/bitstream/doc/1171598/1/BiotransformacaoArsenioInorganico.pdf. Accessed on: Mar. 25 2026.</w:t>
      </w:r>
    </w:p>
    <w:p w:rsidR="00000000" w:rsidDel="00000000" w:rsidP="00000000" w:rsidRDefault="00000000" w:rsidRPr="00000000" w14:paraId="0000003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Dados de pesquisa</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3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SOBRENOME, INICIAIS DO NOME. Título [dataset]. Nome do repositório, ano (ou versão com ano). DOI: https://doi.org/...</w:t>
      </w:r>
    </w:p>
    <w:p w:rsidR="00000000" w:rsidDel="00000000" w:rsidP="00000000" w:rsidRDefault="00000000" w:rsidRPr="00000000" w14:paraId="00000036">
      <w:pPr>
        <w:spacing w:line="480" w:lineRule="auto"/>
        <w:jc w:val="both"/>
        <w:rPr>
          <w:rFonts w:ascii="Times New Roman" w:cs="Times New Roman" w:eastAsia="Times New Roman" w:hAnsi="Times New Roman"/>
          <w:sz w:val="24"/>
          <w:szCs w:val="24"/>
        </w:rPr>
      </w:pPr>
      <w:bookmarkStart w:colFirst="0" w:colLast="0" w:name="_heading=h.lfbzc212tab4" w:id="2"/>
      <w:bookmarkEnd w:id="2"/>
      <w:r w:rsidDel="00000000" w:rsidR="00000000" w:rsidRPr="00000000">
        <w:rPr>
          <w:rFonts w:ascii="Times New Roman" w:cs="Times New Roman" w:eastAsia="Times New Roman" w:hAnsi="Times New Roman"/>
          <w:sz w:val="24"/>
          <w:szCs w:val="24"/>
          <w:rtl w:val="0"/>
        </w:rPr>
        <w:t xml:space="preserve">SOBRENOME, INICIAIS DO NOME. Título [dataset]. Nome do repositório, versão/ano. Available at: &lt;https://endereçocompleto&gt;. Accessed on: mês (abreviado quando possível) dia ano.</w:t>
      </w:r>
    </w:p>
    <w:p w:rsidR="00000000" w:rsidDel="00000000" w:rsidP="00000000" w:rsidRDefault="00000000" w:rsidRPr="00000000" w14:paraId="0000003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Legislação</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38">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BRASIL. Lei nº 12.651, de 25 de maio de 2012. Dispõe sobre a proteção da vegetação nativa; altera as Leis nºs 6.938, de 31 de agosto de 1981, 9.393, de 19 de dezembro de 1996, e 11.428, de 22 de dezembro de 2006; revoga as Leis nºs 4.771, de 15 de setembro de 1965, e 7.754, de 14 de abril de 1989, e a Medida Provisória nº 2.166-67, de 24 de agosto de 2001; e dá outras providências. Diário Oficial da União, 28 maio 2012. Seção1, p.1-8.</w:t>
      </w:r>
    </w:p>
    <w:p w:rsidR="00000000" w:rsidDel="00000000" w:rsidP="00000000" w:rsidRDefault="00000000" w:rsidRPr="00000000" w14:paraId="00000039">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SÃO PAULO (Estado). Decreto nº 42.822, de 20 de janeiro de 1998. Lex: coletânea de legislação e jurisprudência, v.62, p.217-220, 1998.</w:t>
      </w:r>
      <w:r w:rsidDel="00000000" w:rsidR="00000000" w:rsidRPr="00000000">
        <w:br w:type="page"/>
      </w:r>
      <w:r w:rsidDel="00000000" w:rsidR="00000000" w:rsidRPr="00000000">
        <w:rPr>
          <w:rtl w:val="0"/>
        </w:rPr>
      </w:r>
    </w:p>
    <w:p w:rsidR="00000000" w:rsidDel="00000000" w:rsidP="00000000" w:rsidRDefault="00000000" w:rsidRPr="00000000" w14:paraId="0000003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Table 1.</w:t>
      </w:r>
      <w:r w:rsidDel="00000000" w:rsidR="00000000" w:rsidRPr="00000000">
        <w:rPr>
          <w:rFonts w:ascii="Times New Roman" w:cs="Times New Roman" w:eastAsia="Times New Roman" w:hAnsi="Times New Roman"/>
          <w:sz w:val="24"/>
          <w:szCs w:val="24"/>
          <w:rtl w:val="0"/>
        </w:rPr>
        <w:t xml:space="preserve"> As tabelas devem ser autoexplicativas, numeradas sequencialmente com algarismos arábicos e citadas no corpo do texto. Devem ser elaboradas no Microsoft Word (utilizando a ferramenta “Inserir Tabela”), com espaçamento simples e sem linhas verticais ou sombreamentos. O título deve ser posicionado acima da tabela, e as notas de rodapé, logo abaixo dela.</w:t>
      </w:r>
    </w:p>
    <w:tbl>
      <w:tblPr>
        <w:tblStyle w:val="Table1"/>
        <w:tblW w:w="9071.0" w:type="dxa"/>
        <w:jc w:val="center"/>
        <w:tblLayout w:type="fixed"/>
        <w:tblLook w:val="0400"/>
      </w:tblPr>
      <w:tblGrid>
        <w:gridCol w:w="2170"/>
        <w:gridCol w:w="1571"/>
        <w:gridCol w:w="1586"/>
        <w:gridCol w:w="1589"/>
        <w:gridCol w:w="760"/>
        <w:gridCol w:w="635"/>
        <w:gridCol w:w="760"/>
        <w:tblGridChange w:id="0">
          <w:tblGrid>
            <w:gridCol w:w="2170"/>
            <w:gridCol w:w="1571"/>
            <w:gridCol w:w="1586"/>
            <w:gridCol w:w="1589"/>
            <w:gridCol w:w="760"/>
            <w:gridCol w:w="635"/>
            <w:gridCol w:w="760"/>
          </w:tblGrid>
        </w:tblGridChange>
      </w:tblGrid>
      <w:tr>
        <w:trPr>
          <w:cantSplit w:val="0"/>
          <w:trHeight w:val="58" w:hRule="atLeast"/>
          <w:tblHeader w:val="0"/>
        </w:trPr>
        <w:tc>
          <w:tcPr>
            <w:vMerge w:val="restart"/>
            <w:tcBorders>
              <w:top w:color="000000" w:space="0" w:sz="4" w:val="single"/>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3B">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Item</w:t>
            </w:r>
            <w:r w:rsidDel="00000000" w:rsidR="00000000" w:rsidRPr="00000000">
              <w:rPr>
                <w:rFonts w:ascii="Times New Roman" w:cs="Times New Roman" w:eastAsia="Times New Roman" w:hAnsi="Times New Roman"/>
                <w:vertAlign w:val="superscript"/>
                <w:rtl w:val="0"/>
              </w:rPr>
              <w:t xml:space="preserve">(1)</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3C">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Treatment</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tl w:val="0"/>
              </w:rPr>
            </w:r>
          </w:p>
        </w:tc>
        <w:tc>
          <w:tcPr>
            <w:gridSpan w:val="3"/>
            <w:tcBorders>
              <w:top w:color="000000" w:space="0" w:sz="4" w:val="single"/>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3F">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P-value</w:t>
            </w:r>
            <w:r w:rsidDel="00000000" w:rsidR="00000000" w:rsidRPr="00000000">
              <w:rPr>
                <w:rFonts w:ascii="Times New Roman" w:cs="Times New Roman" w:eastAsia="Times New Roman" w:hAnsi="Times New Roman"/>
                <w:vertAlign w:val="superscript"/>
                <w:rtl w:val="0"/>
              </w:rPr>
              <w:t xml:space="preserve">(3)</w:t>
            </w:r>
            <w:r w:rsidDel="00000000" w:rsidR="00000000" w:rsidRPr="00000000">
              <w:rPr>
                <w:rtl w:val="0"/>
              </w:rPr>
            </w:r>
          </w:p>
        </w:tc>
      </w:tr>
      <w:tr>
        <w:trPr>
          <w:cantSplit w:val="0"/>
          <w:trHeight w:val="58" w:hRule="atLeast"/>
          <w:tblHeader w:val="0"/>
        </w:trPr>
        <w:tc>
          <w:tcPr>
            <w:vMerge w:val="continue"/>
            <w:tcBorders>
              <w:top w:color="000000" w:space="0" w:sz="4" w:val="single"/>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43">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SUP</w:t>
            </w:r>
          </w:p>
        </w:tc>
        <w:tc>
          <w:tcPr>
            <w:tcBorders>
              <w:top w:color="000000" w:space="0" w:sz="0" w:val="nil"/>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44">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w:t>
            </w:r>
          </w:p>
        </w:tc>
        <w:tc>
          <w:tcPr>
            <w:tcBorders>
              <w:top w:color="000000" w:space="0" w:sz="0" w:val="nil"/>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45">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VET-SUP</w:t>
            </w:r>
          </w:p>
        </w:tc>
        <w:tc>
          <w:tcPr>
            <w:tcBorders>
              <w:top w:color="000000" w:space="0" w:sz="0" w:val="nil"/>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46">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C1</w:t>
            </w:r>
          </w:p>
        </w:tc>
        <w:tc>
          <w:tcPr>
            <w:tcBorders>
              <w:top w:color="000000" w:space="0" w:sz="0" w:val="nil"/>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47">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C2</w:t>
            </w:r>
          </w:p>
        </w:tc>
        <w:tc>
          <w:tcPr>
            <w:tcBorders>
              <w:top w:color="000000" w:space="0" w:sz="0" w:val="nil"/>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48">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C3</w:t>
            </w:r>
          </w:p>
        </w:tc>
      </w:tr>
      <w:tr>
        <w:trPr>
          <w:cantSplit w:val="0"/>
          <w:trHeight w:val="58" w:hRule="atLeast"/>
          <w:tblHeader w:val="0"/>
        </w:trPr>
        <w:tc>
          <w:tcPr>
            <w:gridSpan w:val="7"/>
            <w:tcBorders>
              <w:top w:color="000000" w:space="0" w:sz="4" w:val="single"/>
              <w:left w:color="000000" w:space="0" w:sz="0" w:val="nil"/>
              <w:right w:color="000000" w:space="0" w:sz="0" w:val="nil"/>
            </w:tcBorders>
            <w:shd w:fill="ffffff" w:val="clear"/>
            <w:vAlign w:val="center"/>
          </w:tcPr>
          <w:p w:rsidR="00000000" w:rsidDel="00000000" w:rsidP="00000000" w:rsidRDefault="00000000" w:rsidRPr="00000000" w14:paraId="00000049">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Dry matter</w:t>
            </w:r>
          </w:p>
        </w:tc>
      </w:tr>
      <w:tr>
        <w:trPr>
          <w:cantSplit w:val="0"/>
          <w:trHeight w:val="68" w:hRule="atLeast"/>
          <w:tblHeader w:val="0"/>
        </w:trPr>
        <w:tc>
          <w:tcPr>
            <w:tcBorders>
              <w:left w:color="000000" w:space="0" w:sz="0" w:val="nil"/>
              <w:bottom w:color="000000" w:space="0" w:sz="0" w:val="nil"/>
              <w:right w:color="000000" w:space="0" w:sz="0" w:val="nil"/>
            </w:tcBorders>
            <w:shd w:fill="ffffff" w:val="clear"/>
            <w:vAlign w:val="bottom"/>
          </w:tcPr>
          <w:p w:rsidR="00000000" w:rsidDel="00000000" w:rsidP="00000000" w:rsidRDefault="00000000" w:rsidRPr="00000000" w14:paraId="00000050">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 (%)</w:t>
            </w:r>
          </w:p>
        </w:tc>
        <w:tc>
          <w:tcPr>
            <w:tcBorders>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1">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44.3±1.55</w:t>
            </w:r>
          </w:p>
        </w:tc>
        <w:tc>
          <w:tcPr>
            <w:tcBorders>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2">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29.2±4.20</w:t>
            </w:r>
          </w:p>
        </w:tc>
        <w:tc>
          <w:tcPr>
            <w:tcBorders>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3">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41.2±1.86</w:t>
            </w:r>
          </w:p>
        </w:tc>
        <w:tc>
          <w:tcPr>
            <w:tcBorders>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4">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0.001</w:t>
            </w:r>
          </w:p>
        </w:tc>
        <w:tc>
          <w:tcPr>
            <w:tcBorders>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5">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0.197</w:t>
            </w:r>
          </w:p>
        </w:tc>
        <w:tc>
          <w:tcPr>
            <w:tcBorders>
              <w:left w:color="000000" w:space="0" w:sz="0" w:val="nil"/>
              <w:bottom w:color="000000" w:space="0" w:sz="0" w:val="nil"/>
              <w:right w:color="000000" w:space="0" w:sz="0" w:val="nil"/>
            </w:tcBorders>
            <w:shd w:fill="ffffff" w:val="clear"/>
            <w:vAlign w:val="center"/>
          </w:tcPr>
          <w:p w:rsidR="00000000" w:rsidDel="00000000" w:rsidP="00000000" w:rsidRDefault="00000000" w:rsidRPr="00000000" w14:paraId="00000056">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0.011</w:t>
            </w:r>
          </w:p>
        </w:tc>
      </w:tr>
      <w:tr>
        <w:trPr>
          <w:cantSplit w:val="0"/>
          <w:trHeight w:val="68" w:hRule="atLeast"/>
          <w:tblHeader w:val="0"/>
        </w:trPr>
        <w:tc>
          <w:tcPr>
            <w:tcBorders>
              <w:top w:color="000000" w:space="0" w:sz="0" w:val="nil"/>
              <w:left w:color="000000" w:space="0" w:sz="0" w:val="nil"/>
              <w:right w:color="000000" w:space="0" w:sz="0" w:val="nil"/>
            </w:tcBorders>
            <w:shd w:fill="ffffff" w:val="clear"/>
            <w:vAlign w:val="bottom"/>
          </w:tcPr>
          <w:p w:rsidR="00000000" w:rsidDel="00000000" w:rsidP="00000000" w:rsidRDefault="00000000" w:rsidRPr="00000000" w14:paraId="00000057">
            <w:pPr>
              <w:spacing w:line="480" w:lineRule="auto"/>
              <w:rPr>
                <w:rFonts w:ascii="Times New Roman" w:cs="Times New Roman" w:eastAsia="Times New Roman" w:hAnsi="Times New Roman"/>
              </w:rPr>
            </w:pPr>
            <m:oMath>
              <m:sSub>
                <m:sSubPr>
                  <m:ctrlPr>
                    <w:rPr>
                      <w:rFonts w:ascii="Cambria Math" w:cs="Cambria Math" w:eastAsia="Cambria Math" w:hAnsi="Cambria Math"/>
                    </w:rPr>
                  </m:ctrlPr>
                </m:sSubPr>
                <m:e>
                  <m:r>
                    <w:rPr>
                      <w:rFonts w:ascii="Cambria Math" w:cs="Cambria Math" w:eastAsia="Cambria Math" w:hAnsi="Cambria Math"/>
                    </w:rPr>
                    <m:t xml:space="preserve">k</m:t>
                  </m:r>
                </m:e>
                <m:sub>
                  <m:sSub>
                    <m:sSubPr>
                      <m:ctrlPr>
                        <w:rPr>
                          <w:rFonts w:ascii="Cambria Math" w:cs="Cambria Math" w:eastAsia="Cambria Math" w:hAnsi="Cambria Math"/>
                        </w:rPr>
                      </m:ctrlPr>
                    </m:sSubPr>
                    <m:e>
                      <m:r>
                        <w:rPr>
                          <w:rFonts w:ascii="Cambria Math" w:cs="Cambria Math" w:eastAsia="Cambria Math" w:hAnsi="Cambria Math"/>
                        </w:rPr>
                        <m:t xml:space="preserve">d</m:t>
                      </m:r>
                    </m:e>
                    <m:sub>
                      <m:r>
                        <w:rPr>
                          <w:rFonts w:ascii="Cambria Math" w:cs="Cambria Math" w:eastAsia="Cambria Math" w:hAnsi="Cambria Math"/>
                        </w:rPr>
                        <m:t xml:space="preserve">A</m:t>
                      </m:r>
                    </m:sub>
                  </m:sSub>
                </m:sub>
              </m:sSub>
            </m:oMath>
            <w:r w:rsidDel="00000000" w:rsidR="00000000" w:rsidRPr="00000000">
              <w:rPr>
                <w:rFonts w:ascii="Times New Roman" w:cs="Times New Roman" w:eastAsia="Times New Roman" w:hAnsi="Times New Roman"/>
                <w:rtl w:val="0"/>
              </w:rPr>
              <w:t xml:space="preserve"> (% per day)</w:t>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8">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0.029±0.003</w:t>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9">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0.011±0.003</w:t>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A">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0.025±0.004</w:t>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B">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&lt;0.001</w:t>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C">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0.421</w:t>
            </w:r>
          </w:p>
        </w:tc>
        <w:tc>
          <w:tcPr>
            <w:tcBorders>
              <w:top w:color="000000" w:space="0" w:sz="0" w:val="nil"/>
              <w:left w:color="000000" w:space="0" w:sz="0" w:val="nil"/>
              <w:right w:color="000000" w:space="0" w:sz="0" w:val="nil"/>
            </w:tcBorders>
            <w:shd w:fill="ffffff" w:val="clear"/>
            <w:vAlign w:val="center"/>
          </w:tcPr>
          <w:p w:rsidR="00000000" w:rsidDel="00000000" w:rsidP="00000000" w:rsidRDefault="00000000" w:rsidRPr="00000000" w14:paraId="0000005D">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0.007</w:t>
            </w:r>
          </w:p>
        </w:tc>
      </w:tr>
      <w:tr>
        <w:trPr>
          <w:cantSplit w:val="0"/>
          <w:trHeight w:val="112" w:hRule="atLeast"/>
          <w:tblHeader w:val="0"/>
        </w:trPr>
        <w:tc>
          <w:tcPr>
            <w:tcBorders>
              <w:top w:color="000000" w:space="0" w:sz="0" w:val="nil"/>
              <w:left w:color="000000" w:space="0" w:sz="0" w:val="nil"/>
              <w:bottom w:color="000000" w:space="0" w:sz="4" w:val="single"/>
              <w:right w:color="000000" w:space="0" w:sz="0" w:val="nil"/>
            </w:tcBorders>
            <w:shd w:fill="ffffff" w:val="clear"/>
            <w:vAlign w:val="bottom"/>
          </w:tcPr>
          <w:p w:rsidR="00000000" w:rsidDel="00000000" w:rsidP="00000000" w:rsidRDefault="00000000" w:rsidRPr="00000000" w14:paraId="0000005E">
            <w:pPr>
              <w:spacing w:line="48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w:t>
            </w:r>
            <w:r w:rsidDel="00000000" w:rsidR="00000000" w:rsidRPr="00000000">
              <w:rPr>
                <w:rFonts w:ascii="Times New Roman" w:cs="Times New Roman" w:eastAsia="Times New Roman" w:hAnsi="Times New Roman"/>
                <w:vertAlign w:val="subscript"/>
                <w:rtl w:val="0"/>
              </w:rPr>
              <w:t xml:space="preserve">1/2A</w:t>
            </w:r>
            <w:r w:rsidDel="00000000" w:rsidR="00000000" w:rsidRPr="00000000">
              <w:rPr>
                <w:rFonts w:ascii="Times New Roman" w:cs="Times New Roman" w:eastAsia="Times New Roman" w:hAnsi="Times New Roman"/>
                <w:rtl w:val="0"/>
              </w:rPr>
              <w:t xml:space="preserve"> (days)</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5F">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24.0±2.76</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60">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63.7±19.4</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61">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27.9±4.25</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62">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0.045</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63">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0.440</w:t>
            </w:r>
          </w:p>
        </w:tc>
        <w:tc>
          <w:tcPr>
            <w:tcBorders>
              <w:top w:color="000000" w:space="0" w:sz="0" w:val="nil"/>
              <w:left w:color="000000" w:space="0" w:sz="0" w:val="nil"/>
              <w:bottom w:color="000000" w:space="0" w:sz="4" w:val="single"/>
              <w:right w:color="000000" w:space="0" w:sz="0" w:val="nil"/>
            </w:tcBorders>
            <w:shd w:fill="ffffff" w:val="clear"/>
            <w:vAlign w:val="center"/>
          </w:tcPr>
          <w:p w:rsidR="00000000" w:rsidDel="00000000" w:rsidP="00000000" w:rsidRDefault="00000000" w:rsidRPr="00000000" w14:paraId="00000064">
            <w:pPr>
              <w:spacing w:line="48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0.075</w:t>
            </w:r>
          </w:p>
        </w:tc>
      </w:tr>
    </w:tbl>
    <w:p w:rsidR="00000000" w:rsidDel="00000000" w:rsidP="00000000" w:rsidRDefault="00000000" w:rsidRPr="00000000" w14:paraId="0000006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vertAlign w:val="superscript"/>
          <w:rtl w:val="0"/>
        </w:rPr>
        <w:t xml:space="preserve">(1)</w:t>
      </w:r>
      <w:r w:rsidDel="00000000" w:rsidR="00000000" w:rsidRPr="00000000">
        <w:rPr>
          <w:rFonts w:ascii="Times New Roman" w:cs="Times New Roman" w:eastAsia="Times New Roman" w:hAnsi="Times New Roman"/>
          <w:sz w:val="24"/>
          <w:szCs w:val="24"/>
          <w:rtl w:val="0"/>
        </w:rPr>
        <w:t xml:space="preserve">A, easily decomposable fraction;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k</m:t>
            </m:r>
          </m:e>
          <m: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d</m:t>
                </m:r>
              </m:e>
              <m:sub>
                <m:r>
                  <w:rPr>
                    <w:rFonts w:ascii="Cambria Math" w:cs="Cambria Math" w:eastAsia="Cambria Math" w:hAnsi="Cambria Math"/>
                    <w:sz w:val="24"/>
                    <w:szCs w:val="24"/>
                  </w:rPr>
                  <m:t xml:space="preserve">A</m:t>
                </m:r>
              </m:sub>
            </m:sSub>
          </m:sub>
        </m:sSub>
      </m:oMath>
      <w:r w:rsidDel="00000000" w:rsidR="00000000" w:rsidRPr="00000000">
        <w:rPr>
          <w:rFonts w:ascii="Times New Roman" w:cs="Times New Roman" w:eastAsia="Times New Roman" w:hAnsi="Times New Roman"/>
          <w:sz w:val="24"/>
          <w:szCs w:val="24"/>
          <w:rtl w:val="0"/>
        </w:rPr>
        <w:t xml:space="preserve">, degradation rate of A; </w:t>
      </w:r>
      <m:oMath>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k</m:t>
            </m:r>
          </m:e>
          <m:sub>
            <m:sSub>
              <m:sSubPr>
                <m:ctrlPr>
                  <w:rPr>
                    <w:rFonts w:ascii="Cambria Math" w:cs="Cambria Math" w:eastAsia="Cambria Math" w:hAnsi="Cambria Math"/>
                    <w:sz w:val="24"/>
                    <w:szCs w:val="24"/>
                  </w:rPr>
                </m:ctrlPr>
              </m:sSubPr>
              <m:e>
                <m:r>
                  <w:rPr>
                    <w:rFonts w:ascii="Cambria Math" w:cs="Cambria Math" w:eastAsia="Cambria Math" w:hAnsi="Cambria Math"/>
                    <w:sz w:val="24"/>
                    <w:szCs w:val="24"/>
                  </w:rPr>
                  <m:t xml:space="preserve">d</m:t>
                </m:r>
              </m:e>
              <m:sub>
                <m:r>
                  <w:rPr>
                    <w:rFonts w:ascii="Cambria Math" w:cs="Cambria Math" w:eastAsia="Cambria Math" w:hAnsi="Cambria Math"/>
                    <w:sz w:val="24"/>
                    <w:szCs w:val="24"/>
                  </w:rPr>
                  <m:t xml:space="preserve">B</m:t>
                </m:r>
              </m:sub>
            </m:sSub>
          </m:sub>
        </m:sSub>
      </m:oMath>
      <w:r w:rsidDel="00000000" w:rsidR="00000000" w:rsidRPr="00000000">
        <w:rPr>
          <w:rFonts w:ascii="Times New Roman" w:cs="Times New Roman" w:eastAsia="Times New Roman" w:hAnsi="Times New Roman"/>
          <w:sz w:val="24"/>
          <w:szCs w:val="24"/>
          <w:rtl w:val="0"/>
        </w:rPr>
        <w:t xml:space="preserve">, degradation rates of recalcitrant fraction (B); and t</w:t>
      </w:r>
      <w:r w:rsidDel="00000000" w:rsidR="00000000" w:rsidRPr="00000000">
        <w:rPr>
          <w:rFonts w:ascii="Times New Roman" w:cs="Times New Roman" w:eastAsia="Times New Roman" w:hAnsi="Times New Roman"/>
          <w:sz w:val="24"/>
          <w:szCs w:val="24"/>
          <w:vertAlign w:val="subscript"/>
          <w:rtl w:val="0"/>
        </w:rPr>
        <w:t xml:space="preserve">1/2A</w:t>
      </w:r>
      <w:r w:rsidDel="00000000" w:rsidR="00000000" w:rsidRPr="00000000">
        <w:rPr>
          <w:rFonts w:ascii="Times New Roman" w:cs="Times New Roman" w:eastAsia="Times New Roman" w:hAnsi="Times New Roman"/>
          <w:sz w:val="24"/>
          <w:szCs w:val="24"/>
          <w:rtl w:val="0"/>
        </w:rPr>
        <w:t xml:space="preserve"> and t</w:t>
      </w:r>
      <w:r w:rsidDel="00000000" w:rsidR="00000000" w:rsidRPr="00000000">
        <w:rPr>
          <w:rFonts w:ascii="Times New Roman" w:cs="Times New Roman" w:eastAsia="Times New Roman" w:hAnsi="Times New Roman"/>
          <w:sz w:val="24"/>
          <w:szCs w:val="24"/>
          <w:vertAlign w:val="subscript"/>
          <w:rtl w:val="0"/>
        </w:rPr>
        <w:t xml:space="preserve">1/2B</w:t>
      </w:r>
      <w:r w:rsidDel="00000000" w:rsidR="00000000" w:rsidRPr="00000000">
        <w:rPr>
          <w:rFonts w:ascii="Times New Roman" w:cs="Times New Roman" w:eastAsia="Times New Roman" w:hAnsi="Times New Roman"/>
          <w:sz w:val="24"/>
          <w:szCs w:val="24"/>
          <w:rtl w:val="0"/>
        </w:rPr>
        <w:t xml:space="preserve">, half-life times for A and B. </w:t>
      </w:r>
      <w:r w:rsidDel="00000000" w:rsidR="00000000" w:rsidRPr="00000000">
        <w:rPr>
          <w:rFonts w:ascii="Times New Roman" w:cs="Times New Roman" w:eastAsia="Times New Roman" w:hAnsi="Times New Roman"/>
          <w:sz w:val="24"/>
          <w:szCs w:val="24"/>
          <w:vertAlign w:val="superscript"/>
          <w:rtl w:val="0"/>
        </w:rPr>
        <w:t xml:space="preserve">(2)</w:t>
      </w:r>
      <w:r w:rsidDel="00000000" w:rsidR="00000000" w:rsidRPr="00000000">
        <w:rPr>
          <w:rFonts w:ascii="Times New Roman" w:cs="Times New Roman" w:eastAsia="Times New Roman" w:hAnsi="Times New Roman"/>
          <w:sz w:val="24"/>
          <w:szCs w:val="24"/>
          <w:rtl w:val="0"/>
        </w:rPr>
        <w:t xml:space="preserve">SUP, black oat (</w:t>
      </w:r>
      <w:r w:rsidDel="00000000" w:rsidR="00000000" w:rsidRPr="00000000">
        <w:rPr>
          <w:rFonts w:ascii="Times New Roman" w:cs="Times New Roman" w:eastAsia="Times New Roman" w:hAnsi="Times New Roman"/>
          <w:i w:val="1"/>
          <w:iCs w:val="1"/>
          <w:sz w:val="24"/>
          <w:szCs w:val="24"/>
          <w:rtl w:val="0"/>
        </w:rPr>
        <w:t xml:space="preserve">Avena strigosa</w:t>
      </w:r>
      <w:r w:rsidDel="00000000" w:rsidR="00000000" w:rsidRPr="00000000">
        <w:rPr>
          <w:rFonts w:ascii="Times New Roman" w:cs="Times New Roman" w:eastAsia="Times New Roman" w:hAnsi="Times New Roman"/>
          <w:sz w:val="24"/>
          <w:szCs w:val="24"/>
          <w:rtl w:val="0"/>
        </w:rPr>
        <w:t xml:space="preserve">) + ryegrass (</w:t>
      </w:r>
      <w:r w:rsidDel="00000000" w:rsidR="00000000" w:rsidRPr="00000000">
        <w:rPr>
          <w:rFonts w:ascii="Times New Roman" w:cs="Times New Roman" w:eastAsia="Times New Roman" w:hAnsi="Times New Roman"/>
          <w:i w:val="1"/>
          <w:iCs w:val="1"/>
          <w:sz w:val="24"/>
          <w:szCs w:val="24"/>
          <w:rtl w:val="0"/>
        </w:rPr>
        <w:t xml:space="preserve">Lolium multiflorum</w:t>
      </w:r>
      <w:r w:rsidDel="00000000" w:rsidR="00000000" w:rsidRPr="00000000">
        <w:rPr>
          <w:rFonts w:ascii="Times New Roman" w:cs="Times New Roman" w:eastAsia="Times New Roman" w:hAnsi="Times New Roman"/>
          <w:sz w:val="24"/>
          <w:szCs w:val="24"/>
          <w:rtl w:val="0"/>
        </w:rPr>
        <w:t xml:space="preserve">) + animal supplementation; VET, oat + ryegrass + vetch (</w:t>
      </w:r>
      <w:r w:rsidDel="00000000" w:rsidR="00000000" w:rsidRPr="00000000">
        <w:rPr>
          <w:rFonts w:ascii="Times New Roman" w:cs="Times New Roman" w:eastAsia="Times New Roman" w:hAnsi="Times New Roman"/>
          <w:i w:val="1"/>
          <w:iCs w:val="1"/>
          <w:sz w:val="24"/>
          <w:szCs w:val="24"/>
          <w:rtl w:val="0"/>
        </w:rPr>
        <w:t xml:space="preserve">Vicia sativa</w:t>
      </w:r>
      <w:r w:rsidDel="00000000" w:rsidR="00000000" w:rsidRPr="00000000">
        <w:rPr>
          <w:rFonts w:ascii="Times New Roman" w:cs="Times New Roman" w:eastAsia="Times New Roman" w:hAnsi="Times New Roman"/>
          <w:sz w:val="24"/>
          <w:szCs w:val="24"/>
          <w:rtl w:val="0"/>
        </w:rPr>
        <w:t xml:space="preserve">); and VET-SUP, oats + ryegrass + vetch+ animal supplementation. </w:t>
      </w:r>
      <w:r w:rsidDel="00000000" w:rsidR="00000000" w:rsidRPr="00000000">
        <w:rPr>
          <w:rFonts w:ascii="Times New Roman" w:cs="Times New Roman" w:eastAsia="Times New Roman" w:hAnsi="Times New Roman"/>
          <w:sz w:val="24"/>
          <w:szCs w:val="24"/>
          <w:vertAlign w:val="superscript"/>
          <w:rtl w:val="0"/>
        </w:rPr>
        <w:t xml:space="preserve">(3)</w:t>
      </w:r>
      <w:r w:rsidDel="00000000" w:rsidR="00000000" w:rsidRPr="00000000">
        <w:rPr>
          <w:rFonts w:ascii="Times New Roman" w:cs="Times New Roman" w:eastAsia="Times New Roman" w:hAnsi="Times New Roman"/>
          <w:sz w:val="24"/>
          <w:szCs w:val="24"/>
          <w:rtl w:val="0"/>
        </w:rPr>
        <w:t xml:space="preserve">C1, effect of animal supplementation and vetch; C2, effect of vetch; and C3, effect of animal supplementation.</w:t>
      </w:r>
      <w:r w:rsidDel="00000000" w:rsidR="00000000" w:rsidRPr="00000000">
        <w:br w:type="page"/>
      </w:r>
      <w:r w:rsidDel="00000000" w:rsidR="00000000" w:rsidRPr="00000000">
        <w:rPr>
          <w:rFonts w:ascii="Times New Roman" w:cs="Times New Roman" w:eastAsia="Times New Roman" w:hAnsi="Times New Roman"/>
          <w:sz w:val="24"/>
          <w:szCs w:val="24"/>
          <w:highlight w:val="white"/>
        </w:rPr>
        <w:drawing>
          <wp:inline distB="0" distT="0" distL="0" distR="0">
            <wp:extent cx="5619750" cy="2781300"/>
            <wp:docPr id="432531628" name=""/>
            <a:graphic>
              <a:graphicData uri="http://schemas.openxmlformats.org/drawingml/2006/chart">
                <c:chart r:id="rId10"/>
              </a:graphicData>
            </a:graphic>
          </wp:inline>
        </w:drawing>
      </w:r>
      <w:r w:rsidDel="00000000" w:rsidR="00000000" w:rsidRPr="00000000">
        <w:rPr>
          <w:rtl w:val="0"/>
        </w:rPr>
      </w:r>
    </w:p>
    <w:p w:rsidR="00000000" w:rsidDel="00000000" w:rsidP="00000000" w:rsidRDefault="00000000" w:rsidRPr="00000000" w14:paraId="00000066">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Figure 1.</w:t>
      </w:r>
      <w:r w:rsidDel="00000000" w:rsidR="00000000" w:rsidRPr="00000000">
        <w:rPr>
          <w:rFonts w:ascii="Times New Roman" w:cs="Times New Roman" w:eastAsia="Times New Roman" w:hAnsi="Times New Roman"/>
          <w:sz w:val="24"/>
          <w:szCs w:val="24"/>
          <w:rtl w:val="0"/>
        </w:rPr>
        <w:t xml:space="preserve"> Gráficos, desenhos, mapas e fotografias devem ser utilizados apenas quando indispensáveis para a compreensão dos dados. No manuscrito, devem ser inseridos após as tabelas. Editabilidade: Gráficos e diagramas devem ser gerados em programas que permitam edição (Excel, Word ou Corel Draw) e carregados no sistema em seus formatos originais. Imagens e fotografias: Devem apresentar alta qualidade visual, com resolução mínima de 300 dpi, e ser enviadas em formato .TIF. Submissão: Cada figura deve ser carregada como um arquivo individual no sistema de submissão, conforme as instruções da plataforma.</w:t>
      </w:r>
    </w:p>
    <w:p w:rsidR="00000000" w:rsidDel="00000000" w:rsidP="00000000" w:rsidRDefault="00000000" w:rsidRPr="00000000" w14:paraId="00000068">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480" w:lineRule="auto"/>
        <w:jc w:val="both"/>
        <w:rPr>
          <w:rFonts w:ascii="Times New Roman" w:cs="Times New Roman" w:eastAsia="Times New Roman" w:hAnsi="Times New Roman"/>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6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ee0000"/>
          <w:sz w:val="24"/>
          <w:szCs w:val="24"/>
          <w:rtl w:val="0"/>
        </w:rPr>
        <w:t xml:space="preserve">As informações abaixo devem ser informadas pelo autor correspondente na Carta de Apresentação para Submissão de Manuscrito que deverá ser carregada no sistema de submissão. Serão inseridas no artigo pela equipe editorial antes de sua publicação.</w:t>
      </w:r>
      <w:r w:rsidDel="00000000" w:rsidR="00000000" w:rsidRPr="00000000">
        <w:rPr>
          <w:rtl w:val="0"/>
        </w:rPr>
      </w:r>
    </w:p>
    <w:p w:rsidR="00000000" w:rsidDel="00000000" w:rsidP="00000000" w:rsidRDefault="00000000" w:rsidRPr="00000000" w14:paraId="0000006B">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C">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Contribuições dos autores</w:t>
      </w:r>
      <w:r w:rsidDel="00000000" w:rsidR="00000000" w:rsidRPr="00000000">
        <w:rPr>
          <w:rtl w:val="0"/>
        </w:rPr>
      </w:r>
    </w:p>
    <w:p w:rsidR="00000000" w:rsidDel="00000000" w:rsidP="00000000" w:rsidRDefault="00000000" w:rsidRPr="00000000" w14:paraId="0000006D">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Nome completo do autor</w:t>
      </w:r>
      <w:r w:rsidDel="00000000" w:rsidR="00000000" w:rsidRPr="00000000">
        <w:rPr>
          <w:rFonts w:ascii="Times New Roman" w:cs="Times New Roman" w:eastAsia="Times New Roman" w:hAnsi="Times New Roman"/>
          <w:sz w:val="24"/>
          <w:szCs w:val="24"/>
          <w:rtl w:val="0"/>
        </w:rPr>
        <w:t xml:space="preserve">: contribuição, contribuição, contribuição; </w:t>
      </w:r>
      <w:r w:rsidDel="00000000" w:rsidR="00000000" w:rsidRPr="00000000">
        <w:rPr>
          <w:rFonts w:ascii="Times New Roman" w:cs="Times New Roman" w:eastAsia="Times New Roman" w:hAnsi="Times New Roman"/>
          <w:b w:val="1"/>
          <w:bCs w:val="1"/>
          <w:sz w:val="24"/>
          <w:szCs w:val="24"/>
          <w:rtl w:val="0"/>
        </w:rPr>
        <w:t xml:space="preserve">nome completo do autor</w:t>
      </w:r>
      <w:r w:rsidDel="00000000" w:rsidR="00000000" w:rsidRPr="00000000">
        <w:rPr>
          <w:rFonts w:ascii="Times New Roman" w:cs="Times New Roman" w:eastAsia="Times New Roman" w:hAnsi="Times New Roman"/>
          <w:sz w:val="24"/>
          <w:szCs w:val="24"/>
          <w:rtl w:val="0"/>
        </w:rPr>
        <w:t xml:space="preserve">: contribuição, contribuição; </w:t>
      </w:r>
      <w:r w:rsidDel="00000000" w:rsidR="00000000" w:rsidRPr="00000000">
        <w:rPr>
          <w:rFonts w:ascii="Times New Roman" w:cs="Times New Roman" w:eastAsia="Times New Roman" w:hAnsi="Times New Roman"/>
          <w:b w:val="1"/>
          <w:bCs w:val="1"/>
          <w:sz w:val="24"/>
          <w:szCs w:val="24"/>
          <w:rtl w:val="0"/>
        </w:rPr>
        <w:t xml:space="preserve">nome completo do autor</w:t>
      </w:r>
      <w:r w:rsidDel="00000000" w:rsidR="00000000" w:rsidRPr="00000000">
        <w:rPr>
          <w:rFonts w:ascii="Times New Roman" w:cs="Times New Roman" w:eastAsia="Times New Roman" w:hAnsi="Times New Roman"/>
          <w:sz w:val="24"/>
          <w:szCs w:val="24"/>
          <w:rtl w:val="0"/>
        </w:rPr>
        <w:t xml:space="preserve">: contribuição.</w:t>
      </w:r>
    </w:p>
    <w:p w:rsidR="00000000" w:rsidDel="00000000" w:rsidP="00000000" w:rsidRDefault="00000000" w:rsidRPr="00000000" w14:paraId="0000006E">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6F">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Declaração de disponibilidade de dados</w:t>
      </w:r>
    </w:p>
    <w:p w:rsidR="00000000" w:rsidDel="00000000" w:rsidP="00000000" w:rsidRDefault="00000000" w:rsidRPr="00000000" w14:paraId="00000070">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No momento da submissão, os autores devem declarar o status de disponibilidade dos dados: dados disponíveis (preferencialmente publicados no próprio manuscrito ou disponibilizados em repositório) e dados disponíveis mediante solicitação (ao autor correspondente ou à organização responsável). Os autores devem seguir o </w:t>
      </w:r>
      <w:hyperlink r:id="rId11">
        <w:r w:rsidDel="00000000" w:rsidR="00000000" w:rsidRPr="00000000">
          <w:rPr>
            <w:rFonts w:ascii="Times New Roman" w:cs="Times New Roman" w:eastAsia="Times New Roman" w:hAnsi="Times New Roman"/>
            <w:color w:val="0000ff"/>
            <w:sz w:val="24"/>
            <w:szCs w:val="24"/>
            <w:u w:val="single"/>
            <w:rtl w:val="0"/>
          </w:rPr>
          <w:t xml:space="preserve">Guia de citação de dados de pesquisa do SciELO</w:t>
        </w:r>
      </w:hyperlink>
      <w:r w:rsidDel="00000000" w:rsidR="00000000" w:rsidRPr="00000000">
        <w:rPr>
          <w:rFonts w:ascii="Times New Roman" w:cs="Times New Roman" w:eastAsia="Times New Roman" w:hAnsi="Times New Roman"/>
          <w:sz w:val="24"/>
          <w:szCs w:val="24"/>
          <w:rtl w:val="0"/>
        </w:rPr>
        <w:t xml:space="preserve">.</w:t>
      </w:r>
      <w:r w:rsidDel="00000000" w:rsidR="00000000" w:rsidRPr="00000000">
        <w:rPr>
          <w:rtl w:val="0"/>
        </w:rPr>
      </w:r>
    </w:p>
    <w:p w:rsidR="00000000" w:rsidDel="00000000" w:rsidP="00000000" w:rsidRDefault="00000000" w:rsidRPr="00000000" w14:paraId="0000007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2">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Declaração de uso de tecnologias de IA</w:t>
      </w:r>
    </w:p>
    <w:p w:rsidR="00000000" w:rsidDel="00000000" w:rsidP="00000000" w:rsidRDefault="00000000" w:rsidRPr="00000000" w14:paraId="0000007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Ferramentas de inteligência artificial (IA) podem ser utilizadas na preparação, redação, revisão e tradução de manuscritos, atuando estritamente como suporte linguístico ou metodológico. O nome e a versão da ferramenta utilizada devem ser declarados na seção Materiais e Métodos. Lembre-se que a autoria é restrita a seres humanos. Os autores detêm responsabilidade integral pelo manuscrito, incluindo trechos assistidos por IA, e respondem por eventuais imprecisões ou violações éticas. A omissão do uso de IA é considerada falta grave, que compromete os princípios de transparência e honestidade na pesquisa. Caso essa ferramenta não tenha sido utilizada, informem: “No generative artificial intelligence (AI) was used in this study”.</w:t>
      </w:r>
    </w:p>
    <w:p w:rsidR="00000000" w:rsidDel="00000000" w:rsidP="00000000" w:rsidRDefault="00000000" w:rsidRPr="00000000" w14:paraId="00000074">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Declaração de conflito de interesses</w:t>
      </w: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76">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 ato da submissão, os autores devem declarar quaisquer conflitos de interesse (pessoal, comercial, político, acadêmico ou financeiro) que possam influenciar a elaboração ou a avaliação do manuscrito. Caso não haja conflito de interesses, use: “The authors declare no conflicts of interest”.</w:t>
      </w:r>
    </w:p>
    <w:p w:rsidR="00000000" w:rsidDel="00000000" w:rsidP="00000000" w:rsidRDefault="00000000" w:rsidRPr="00000000" w14:paraId="00000077">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8">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Financiamento</w:t>
      </w:r>
    </w:p>
    <w:p w:rsidR="00000000" w:rsidDel="00000000" w:rsidP="00000000" w:rsidRDefault="00000000" w:rsidRPr="00000000" w14:paraId="00000079">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 as fontes de fomento por extenso (com sigla e número do processo/projeto), seguidas do motivo do apoio recebido. Exemplo: To Coordenação de Aperfeiçoamento de Pessoal de Nível Superior (CAPES), for financing, in part, this study (Financing Code 001).</w:t>
      </w:r>
    </w:p>
    <w:p w:rsidR="00000000" w:rsidDel="00000000" w:rsidP="00000000" w:rsidRDefault="00000000" w:rsidRPr="00000000" w14:paraId="0000007A">
      <w:pPr>
        <w:spacing w:line="480" w:lineRule="auto"/>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7B">
      <w:pPr>
        <w:spacing w:line="480" w:lineRule="auto"/>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Agradecimentos</w:t>
      </w:r>
    </w:p>
    <w:p w:rsidR="00000000" w:rsidDel="00000000" w:rsidP="00000000" w:rsidRDefault="00000000" w:rsidRPr="00000000" w14:paraId="0000007C">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Liste os nomes das pessoas que não preenchem os critérios para autoria, mas que contribuíram para o trabalho (com suporte técnico, coleta de dados ou assistência por escrito), seguidos do motivo do agradecimento. É necessário obter autorização prévia de todos os citados. Exemplo: To agronomist Jonh Brown, for aiding in data collection.</w:t>
      </w:r>
    </w:p>
    <w:p w:rsidR="00000000" w:rsidDel="00000000" w:rsidP="00000000" w:rsidRDefault="00000000" w:rsidRPr="00000000" w14:paraId="0000007D">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E">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Nota da editora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color w:val="ee0000"/>
          <w:sz w:val="24"/>
          <w:szCs w:val="24"/>
          <w:rtl w:val="0"/>
        </w:rPr>
        <w:t xml:space="preserve">(informação inserida, em inglês, pelo editor da revista)</w:t>
      </w:r>
      <w:r w:rsidDel="00000000" w:rsidR="00000000" w:rsidRPr="00000000">
        <w:rPr>
          <w:rtl w:val="0"/>
        </w:rPr>
      </w:r>
    </w:p>
    <w:p w:rsidR="00000000" w:rsidDel="00000000" w:rsidP="00000000" w:rsidRDefault="00000000" w:rsidRPr="00000000" w14:paraId="0000007F">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afirmações, opiniões e dados contidos em todos os textos publicados na Pesquisa Agropecuária Brasileira (PAB) são de responsabilidade exclusiva de seu(s) autor(es) e não da editora, do editor-chefe e da equipe editorial do periódico, os quais se isentam de qualquer responsabilidade por danos a pessoas ou propriedades decorrentes das ideias, métodos, instruções ou produtos citados. A menção a produtos químicos, máquinas e equipamentos comerciais específicos nos textos publicados neste periódico não implica sua recomendação por parte da editora.</w:t>
      </w:r>
    </w:p>
    <w:sectPr>
      <w:headerReference r:id="rId12" w:type="default"/>
      <w:footerReference r:id="rId13" w:type="default"/>
      <w:pgSz w:h="16840" w:w="11907" w:orient="portrait"/>
      <w:pgMar w:bottom="1418" w:top="1418" w:left="1418" w:right="1418" w:header="709" w:footer="709"/>
      <w:lnNumType w:countBy="1" w:start="0" w:restart="continuous"/>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 w:name="Cambria Math">
    <w:embedRegular w:fontKey="{00000000-0000-0000-0000-000000000000}" r:id="rId1"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pt_BR"/>
      </w:rPr>
    </w:rPrDefault>
    <w:pPrDefault>
      <w:pPr>
        <w:spacing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259" w:lineRule="auto"/>
      <w:ind w:left="0" w:right="0" w:firstLine="0"/>
      <w:jc w:val="left"/>
    </w:pPr>
    <w:rPr>
      <w:rFonts w:ascii="Calibri" w:cs="Calibri" w:eastAsia="Calibri" w:hAnsi="Calibri"/>
      <w:b w:val="0"/>
      <w:bCs w:val="0"/>
      <w:i w:val="0"/>
      <w:iCs w:val="0"/>
      <w:smallCaps w:val="0"/>
      <w:strike w:val="0"/>
      <w:color w:val="2e75b5"/>
      <w:sz w:val="32"/>
      <w:szCs w:val="32"/>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Calibri" w:cs="Calibri" w:eastAsia="Calibri" w:hAnsi="Calibri"/>
      <w:b w:val="0"/>
      <w:bCs w:val="0"/>
      <w:i w:val="0"/>
      <w:iCs w:val="0"/>
      <w:smallCaps w:val="0"/>
      <w:strike w:val="0"/>
      <w:color w:val="2e75b5"/>
      <w:sz w:val="26"/>
      <w:szCs w:val="2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Calibri" w:cs="Calibri" w:eastAsia="Calibri" w:hAnsi="Calibri"/>
      <w:b w:val="0"/>
      <w:bCs w:val="0"/>
      <w:i w:val="0"/>
      <w:iCs w:val="0"/>
      <w:smallCaps w:val="0"/>
      <w:strike w:val="0"/>
      <w:color w:val="1e4d78"/>
      <w:sz w:val="24"/>
      <w:szCs w:val="24"/>
      <w:u w:val="none"/>
      <w:shd w:fill="auto" w:val="clear"/>
      <w:vertAlign w:val="baseline"/>
    </w:rPr>
  </w:style>
  <w:style w:type="paragraph" w:styleId="Heading4">
    <w:name w:val="heading 4"/>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40" w:line="259" w:lineRule="auto"/>
      <w:ind w:left="0" w:right="0" w:firstLine="0"/>
      <w:jc w:val="left"/>
    </w:pPr>
    <w:rPr>
      <w:rFonts w:ascii="Calibri" w:cs="Calibri" w:eastAsia="Calibri" w:hAnsi="Calibri"/>
      <w:b w:val="1"/>
      <w:bCs w:val="1"/>
      <w:i w:val="0"/>
      <w:iCs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59"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59"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59"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paragraph" w:styleId="Normal1" w:customStyle="1">
    <w:name w:val="Normal1"/>
    <w:rsid w:val="00FB22A3"/>
  </w:style>
  <w:style w:type="table" w:styleId="TableNormal" w:customStyle="1">
    <w:name w:val="Table Normal"/>
    <w:rsid w:val="00FB22A3"/>
    <w:tblPr>
      <w:tblCellMar>
        <w:top w:w="0.0" w:type="dxa"/>
        <w:left w:w="0.0" w:type="dxa"/>
        <w:bottom w:w="0.0" w:type="dxa"/>
        <w:right w:w="0.0" w:type="dxa"/>
      </w:tblCellMar>
    </w:tblPr>
  </w:style>
  <w:style w:type="table" w:styleId="a" w:customStyle="1">
    <w:basedOn w:val="TableNormal"/>
    <w:rsid w:val="00FB22A3"/>
    <w:pPr>
      <w:spacing w:after="0" w:line="240" w:lineRule="auto"/>
    </w:pPr>
    <w:rPr>
      <w:rFonts w:ascii="Times New Roman" w:cs="Times New Roman" w:eastAsia="Times New Roman" w:hAnsi="Times New Roman"/>
      <w:color w:val="2e75b5"/>
      <w:sz w:val="20"/>
      <w:szCs w:val="20"/>
    </w:rPr>
    <w:tblPr>
      <w:tblStyleRowBandSize w:val="1"/>
      <w:tblStyleColBandSize w:val="1"/>
      <w:tblCellMar>
        <w:top w:w="0.0" w:type="dxa"/>
        <w:left w:w="108.0" w:type="dxa"/>
        <w:bottom w:w="0.0" w:type="dxa"/>
        <w:right w:w="108.0" w:type="dxa"/>
      </w:tblCellMar>
    </w:tblPr>
  </w:style>
  <w:style w:type="table" w:styleId="a0" w:customStyle="1">
    <w:basedOn w:val="TableNormal"/>
    <w:rsid w:val="00FB22A3"/>
    <w:pPr>
      <w:spacing w:after="0" w:line="240" w:lineRule="auto"/>
    </w:pPr>
    <w:rPr>
      <w:rFonts w:ascii="Times New Roman" w:cs="Times New Roman" w:eastAsia="Times New Roman" w:hAnsi="Times New Roman"/>
      <w:color w:val="2e75b5"/>
      <w:sz w:val="20"/>
      <w:szCs w:val="20"/>
    </w:rPr>
    <w:tblPr>
      <w:tblStyleRowBandSize w:val="1"/>
      <w:tblStyleColBandSize w:val="1"/>
      <w:tblCellMar>
        <w:top w:w="0.0" w:type="dxa"/>
        <w:left w:w="108.0" w:type="dxa"/>
        <w:bottom w:w="0.0" w:type="dxa"/>
        <w:right w:w="108.0" w:type="dxa"/>
      </w:tblCellMar>
    </w:tblPr>
  </w:style>
  <w:style w:type="table" w:styleId="a1" w:customStyle="1">
    <w:basedOn w:val="TableNormal"/>
    <w:rsid w:val="00FB22A3"/>
    <w:pPr>
      <w:spacing w:after="0" w:line="240" w:lineRule="auto"/>
    </w:pPr>
    <w:rPr>
      <w:rFonts w:ascii="Times New Roman" w:cs="Times New Roman" w:eastAsia="Times New Roman" w:hAnsi="Times New Roman"/>
      <w:color w:val="2e75b5"/>
      <w:sz w:val="20"/>
      <w:szCs w:val="20"/>
    </w:rPr>
    <w:tblPr>
      <w:tblStyleRowBandSize w:val="1"/>
      <w:tblStyleColBandSize w:val="1"/>
      <w:tblCellMar>
        <w:top w:w="0.0" w:type="dxa"/>
        <w:left w:w="108.0" w:type="dxa"/>
        <w:bottom w:w="0.0" w:type="dxa"/>
        <w:right w:w="108.0" w:type="dxa"/>
      </w:tblCellMar>
    </w:tblPr>
  </w:style>
  <w:style w:type="table" w:styleId="a2" w:customStyle="1">
    <w:basedOn w:val="TableNormal"/>
    <w:rsid w:val="00FB22A3"/>
    <w:pPr>
      <w:spacing w:after="0" w:line="240" w:lineRule="auto"/>
    </w:pPr>
    <w:rPr>
      <w:rFonts w:ascii="Times New Roman" w:cs="Times New Roman" w:eastAsia="Times New Roman" w:hAnsi="Times New Roman"/>
      <w:color w:val="2e75b5"/>
      <w:sz w:val="20"/>
      <w:szCs w:val="20"/>
    </w:rPr>
    <w:tblPr>
      <w:tblStyleRowBandSize w:val="1"/>
      <w:tblStyleColBandSize w:val="1"/>
      <w:tblCellMar>
        <w:top w:w="0.0" w:type="dxa"/>
        <w:left w:w="108.0" w:type="dxa"/>
        <w:bottom w:w="0.0" w:type="dxa"/>
        <w:right w:w="108.0" w:type="dxa"/>
      </w:tblCellMar>
    </w:tblPr>
  </w:style>
  <w:style w:type="table" w:styleId="a3" w:customStyle="1">
    <w:basedOn w:val="TableNormal"/>
    <w:rsid w:val="00FB22A3"/>
    <w:tblPr>
      <w:tblStyleRowBandSize w:val="1"/>
      <w:tblStyleColBandSize w:val="1"/>
      <w:tblCellMar>
        <w:top w:w="0.0" w:type="dxa"/>
        <w:left w:w="0.0" w:type="dxa"/>
        <w:bottom w:w="0.0" w:type="dxa"/>
        <w:right w:w="0.0" w:type="dxa"/>
      </w:tblCellMar>
    </w:tblPr>
  </w:style>
  <w:style w:type="paragraph" w:styleId="Textodebalo">
    <w:name w:val="Balloon Text"/>
    <w:basedOn w:val="Normal"/>
    <w:link w:val="TextodebaloChar"/>
    <w:uiPriority w:val="99"/>
    <w:semiHidden w:val="1"/>
    <w:unhideWhenUsed w:val="1"/>
    <w:rsid w:val="006F5FCD"/>
    <w:pPr>
      <w:spacing w:line="240" w:lineRule="auto"/>
    </w:pPr>
    <w:rPr>
      <w:rFonts w:ascii="Tahoma" w:cs="Tahoma" w:hAnsi="Tahoma"/>
      <w:sz w:val="16"/>
      <w:szCs w:val="16"/>
    </w:rPr>
  </w:style>
  <w:style w:type="character" w:styleId="TextodebaloChar" w:customStyle="1">
    <w:name w:val="Texto de balão Char"/>
    <w:basedOn w:val="Fontepargpadro"/>
    <w:link w:val="Textodebalo"/>
    <w:uiPriority w:val="99"/>
    <w:semiHidden w:val="1"/>
    <w:rsid w:val="006F5FCD"/>
    <w:rPr>
      <w:rFonts w:ascii="Tahoma" w:cs="Tahoma" w:hAnsi="Tahoma"/>
      <w:sz w:val="16"/>
      <w:szCs w:val="16"/>
    </w:rPr>
  </w:style>
  <w:style w:type="character" w:styleId="Refdecomentrio">
    <w:name w:val="annotation reference"/>
    <w:basedOn w:val="Fontepargpadro"/>
    <w:uiPriority w:val="99"/>
    <w:unhideWhenUsed w:val="1"/>
    <w:rsid w:val="009F47C0"/>
    <w:rPr>
      <w:sz w:val="16"/>
      <w:szCs w:val="16"/>
    </w:rPr>
  </w:style>
  <w:style w:type="paragraph" w:styleId="Textodecomentrio">
    <w:name w:val="annotation text"/>
    <w:basedOn w:val="Normal"/>
    <w:link w:val="TextodecomentrioChar"/>
    <w:uiPriority w:val="99"/>
    <w:unhideWhenUsed w:val="1"/>
    <w:rsid w:val="009F47C0"/>
    <w:pPr>
      <w:spacing w:line="240" w:lineRule="auto"/>
    </w:pPr>
    <w:rPr>
      <w:sz w:val="20"/>
      <w:szCs w:val="20"/>
    </w:rPr>
  </w:style>
  <w:style w:type="character" w:styleId="TextodecomentrioChar" w:customStyle="1">
    <w:name w:val="Texto de comentário Char"/>
    <w:basedOn w:val="Fontepargpadro"/>
    <w:link w:val="Textodecomentrio"/>
    <w:uiPriority w:val="99"/>
    <w:rsid w:val="009F47C0"/>
    <w:rPr>
      <w:sz w:val="20"/>
      <w:szCs w:val="20"/>
    </w:rPr>
  </w:style>
  <w:style w:type="paragraph" w:styleId="Rodap">
    <w:name w:val="footer"/>
    <w:basedOn w:val="Normal"/>
    <w:link w:val="RodapChar"/>
    <w:uiPriority w:val="99"/>
    <w:unhideWhenUsed w:val="1"/>
    <w:rsid w:val="009F47C0"/>
    <w:pPr>
      <w:tabs>
        <w:tab w:val="center" w:pos="4252"/>
        <w:tab w:val="right" w:pos="8504"/>
      </w:tabs>
      <w:spacing w:line="240" w:lineRule="auto"/>
    </w:pPr>
  </w:style>
  <w:style w:type="character" w:styleId="RodapChar" w:customStyle="1">
    <w:name w:val="Rodapé Char"/>
    <w:basedOn w:val="Fontepargpadro"/>
    <w:link w:val="Rodap"/>
    <w:uiPriority w:val="99"/>
    <w:rsid w:val="009F47C0"/>
  </w:style>
  <w:style w:type="paragraph" w:styleId="Textodenotaderodap">
    <w:name w:val="footnote text"/>
    <w:basedOn w:val="Normal"/>
    <w:link w:val="TextodenotaderodapChar"/>
    <w:uiPriority w:val="99"/>
    <w:unhideWhenUsed w:val="1"/>
    <w:rsid w:val="009F47C0"/>
    <w:pPr>
      <w:spacing w:line="240" w:lineRule="auto"/>
    </w:pPr>
    <w:rPr>
      <w:sz w:val="20"/>
      <w:szCs w:val="20"/>
    </w:rPr>
  </w:style>
  <w:style w:type="character" w:styleId="TextodenotaderodapChar" w:customStyle="1">
    <w:name w:val="Texto de nota de rodapé Char"/>
    <w:basedOn w:val="Fontepargpadro"/>
    <w:link w:val="Textodenotaderodap"/>
    <w:uiPriority w:val="99"/>
    <w:rsid w:val="009F47C0"/>
    <w:rPr>
      <w:sz w:val="20"/>
      <w:szCs w:val="20"/>
    </w:rPr>
  </w:style>
  <w:style w:type="character" w:styleId="Refdenotaderodap">
    <w:name w:val="footnote reference"/>
    <w:basedOn w:val="Fontepargpadro"/>
    <w:uiPriority w:val="99"/>
    <w:unhideWhenUsed w:val="1"/>
    <w:rsid w:val="009F47C0"/>
    <w:rPr>
      <w:vertAlign w:val="superscript"/>
    </w:rPr>
  </w:style>
  <w:style w:type="table" w:styleId="Estilo1" w:customStyle="1">
    <w:name w:val="Estilo1"/>
    <w:basedOn w:val="Tabelanormal"/>
    <w:rsid w:val="00D92450"/>
    <w:pPr>
      <w:spacing w:after="0" w:line="240" w:lineRule="auto"/>
    </w:pPr>
    <w:rPr>
      <w:rFonts w:ascii="Times New Roman" w:cs="Times New Roman" w:eastAsia="Times New Roman" w:hAnsi="Times New Roman"/>
      <w:sz w:val="20"/>
      <w:szCs w:val="20"/>
    </w:rPr>
    <w:tblPr>
      <w:tblInd w:w="0.0" w:type="dxa"/>
      <w:tblCellMar>
        <w:top w:w="0.0" w:type="dxa"/>
        <w:left w:w="108.0" w:type="dxa"/>
        <w:bottom w:w="0.0" w:type="dxa"/>
        <w:right w:w="108.0" w:type="dxa"/>
      </w:tblCellMar>
    </w:tblPr>
  </w:style>
  <w:style w:type="paragraph" w:styleId="Corpodetexto">
    <w:name w:val="Body Text"/>
    <w:basedOn w:val="Normal"/>
    <w:link w:val="CorpodetextoChar"/>
    <w:rsid w:val="00C55A0D"/>
    <w:pPr>
      <w:tabs>
        <w:tab w:val="right" w:pos="8640"/>
      </w:tabs>
      <w:spacing w:after="280" w:line="480" w:lineRule="auto"/>
      <w:jc w:val="both"/>
    </w:pPr>
    <w:rPr>
      <w:rFonts w:ascii="Garamond" w:cs="Times New Roman" w:eastAsia="MS Mincho" w:hAnsi="Garamond"/>
      <w:spacing w:val="-2"/>
      <w:sz w:val="24"/>
      <w:szCs w:val="20"/>
      <w:lang w:eastAsia="en-US"/>
    </w:rPr>
  </w:style>
  <w:style w:type="character" w:styleId="CorpodetextoChar" w:customStyle="1">
    <w:name w:val="Corpo de texto Char"/>
    <w:basedOn w:val="Fontepargpadro"/>
    <w:link w:val="Corpodetexto"/>
    <w:rsid w:val="00C55A0D"/>
    <w:rPr>
      <w:rFonts w:ascii="Garamond" w:cs="Times New Roman" w:eastAsia="MS Mincho" w:hAnsi="Garamond"/>
      <w:spacing w:val="-2"/>
      <w:sz w:val="24"/>
      <w:szCs w:val="20"/>
      <w:lang w:eastAsia="en-US"/>
    </w:rPr>
  </w:style>
  <w:style w:type="paragraph" w:styleId="Assuntodocomentrio">
    <w:name w:val="annotation subject"/>
    <w:basedOn w:val="Textodecomentrio"/>
    <w:next w:val="Textodecomentrio"/>
    <w:link w:val="AssuntodocomentrioChar"/>
    <w:uiPriority w:val="99"/>
    <w:semiHidden w:val="1"/>
    <w:unhideWhenUsed w:val="1"/>
    <w:rsid w:val="00A1384B"/>
    <w:rPr>
      <w:b w:val="1"/>
      <w:bCs w:val="1"/>
    </w:rPr>
  </w:style>
  <w:style w:type="character" w:styleId="AssuntodocomentrioChar" w:customStyle="1">
    <w:name w:val="Assunto do comentário Char"/>
    <w:basedOn w:val="TextodecomentrioChar"/>
    <w:link w:val="Assuntodocomentrio"/>
    <w:uiPriority w:val="99"/>
    <w:semiHidden w:val="1"/>
    <w:rsid w:val="00A1384B"/>
    <w:rPr>
      <w:b w:val="1"/>
      <w:bCs w:val="1"/>
      <w:sz w:val="20"/>
      <w:szCs w:val="20"/>
    </w:rPr>
  </w:style>
  <w:style w:type="paragraph" w:styleId="NormalWeb">
    <w:name w:val="Normal (Web)"/>
    <w:basedOn w:val="Normal"/>
    <w:uiPriority w:val="99"/>
    <w:unhideWhenUsed w:val="1"/>
    <w:rsid w:val="007A562C"/>
    <w:pPr>
      <w:spacing w:after="100" w:afterAutospacing="1" w:before="100" w:beforeAutospacing="1" w:line="240" w:lineRule="auto"/>
    </w:pPr>
    <w:rPr>
      <w:rFonts w:ascii="Times New Roman" w:cs="Times New Roman" w:eastAsia="Times New Roman" w:hAnsi="Times New Roman"/>
      <w:sz w:val="24"/>
      <w:szCs w:val="24"/>
    </w:rPr>
  </w:style>
  <w:style w:type="character" w:styleId="Hyperlink">
    <w:name w:val="Hyperlink"/>
    <w:basedOn w:val="Fontepargpadro"/>
    <w:uiPriority w:val="99"/>
    <w:unhideWhenUsed w:val="1"/>
    <w:rsid w:val="007A562C"/>
    <w:rPr>
      <w:color w:val="0000ff"/>
      <w:u w:val="single"/>
    </w:rPr>
  </w:style>
  <w:style w:type="character" w:styleId="Forte">
    <w:name w:val="Strong"/>
    <w:basedOn w:val="Fontepargpadro"/>
    <w:uiPriority w:val="22"/>
    <w:qFormat w:val="1"/>
    <w:rsid w:val="007A562C"/>
    <w:rPr>
      <w:b w:val="1"/>
      <w:bCs w:val="1"/>
    </w:rPr>
  </w:style>
  <w:style w:type="paragraph" w:styleId="PargrafodaLista">
    <w:name w:val="List Paragraph"/>
    <w:basedOn w:val="Normal"/>
    <w:uiPriority w:val="34"/>
    <w:qFormat w:val="1"/>
    <w:rsid w:val="00902B5E"/>
    <w:pPr>
      <w:ind w:left="720"/>
      <w:contextualSpacing w:val="1"/>
    </w:pPr>
  </w:style>
  <w:style w:type="paragraph" w:styleId="Cabealho">
    <w:name w:val="header"/>
    <w:basedOn w:val="Normal"/>
    <w:link w:val="CabealhoChar"/>
    <w:uiPriority w:val="99"/>
    <w:unhideWhenUsed w:val="1"/>
    <w:rsid w:val="00D4384F"/>
    <w:pPr>
      <w:tabs>
        <w:tab w:val="center" w:pos="4252"/>
        <w:tab w:val="right" w:pos="8504"/>
      </w:tabs>
      <w:spacing w:line="240" w:lineRule="auto"/>
    </w:pPr>
  </w:style>
  <w:style w:type="character" w:styleId="CabealhoChar" w:customStyle="1">
    <w:name w:val="Cabeçalho Char"/>
    <w:basedOn w:val="Fontepargpadro"/>
    <w:link w:val="Cabealho"/>
    <w:uiPriority w:val="99"/>
    <w:rsid w:val="00D4384F"/>
  </w:style>
  <w:style w:type="paragraph" w:styleId="Normal2" w:customStyle="1">
    <w:name w:val="Normal2"/>
    <w:rsid w:val="00793681"/>
    <w:pPr>
      <w:spacing w:after="200" w:line="276" w:lineRule="auto"/>
    </w:pPr>
  </w:style>
  <w:style w:type="paragraph" w:styleId="MapadoDocumento">
    <w:name w:val="Document Map"/>
    <w:basedOn w:val="Normal"/>
    <w:link w:val="MapadoDocumentoChar"/>
    <w:uiPriority w:val="99"/>
    <w:semiHidden w:val="1"/>
    <w:unhideWhenUsed w:val="1"/>
    <w:rsid w:val="00B02878"/>
    <w:pPr>
      <w:spacing w:line="240" w:lineRule="auto"/>
    </w:pPr>
    <w:rPr>
      <w:rFonts w:ascii="Times New Roman" w:cs="Times New Roman" w:hAnsi="Times New Roman"/>
      <w:sz w:val="24"/>
      <w:szCs w:val="24"/>
    </w:rPr>
  </w:style>
  <w:style w:type="character" w:styleId="MapadoDocumentoChar" w:customStyle="1">
    <w:name w:val="Mapa do Documento Char"/>
    <w:basedOn w:val="Fontepargpadro"/>
    <w:link w:val="MapadoDocumento"/>
    <w:uiPriority w:val="99"/>
    <w:semiHidden w:val="1"/>
    <w:rsid w:val="00B02878"/>
    <w:rPr>
      <w:rFonts w:ascii="Times New Roman" w:cs="Times New Roman" w:hAnsi="Times New Roman"/>
      <w:sz w:val="24"/>
      <w:szCs w:val="24"/>
    </w:rPr>
  </w:style>
  <w:style w:type="paragraph" w:styleId="Reviso">
    <w:name w:val="Revision"/>
    <w:hidden w:val="1"/>
    <w:uiPriority w:val="99"/>
    <w:semiHidden w:val="1"/>
    <w:rsid w:val="005B3AF5"/>
    <w:pPr>
      <w:spacing w:after="0" w:line="240" w:lineRule="auto"/>
    </w:pPr>
  </w:style>
  <w:style w:type="character" w:styleId="longtext" w:customStyle="1">
    <w:name w:val="long_text"/>
    <w:basedOn w:val="Fontepargpadro"/>
    <w:rsid w:val="00A35900"/>
  </w:style>
  <w:style w:type="paragraph" w:styleId="3vff3xh4yd" w:customStyle="1">
    <w:name w:val="_3vff3xh4yd"/>
    <w:basedOn w:val="Normal"/>
    <w:rsid w:val="00A35900"/>
    <w:pPr>
      <w:spacing w:after="100" w:afterAutospacing="1" w:before="100" w:beforeAutospacing="1" w:line="240" w:lineRule="auto"/>
    </w:pPr>
    <w:rPr>
      <w:rFonts w:ascii="Times New Roman" w:cs="Times New Roman" w:eastAsia="Times New Roman" w:hAnsi="Times New Roman"/>
      <w:sz w:val="24"/>
      <w:szCs w:val="24"/>
    </w:rPr>
  </w:style>
  <w:style w:type="character" w:styleId="Mencinsinresolver1" w:customStyle="1">
    <w:name w:val="Mención sin resolver1"/>
    <w:basedOn w:val="Fontepargpadro"/>
    <w:uiPriority w:val="99"/>
    <w:semiHidden w:val="1"/>
    <w:unhideWhenUsed w:val="1"/>
    <w:rsid w:val="002B51BA"/>
    <w:rPr>
      <w:color w:val="605e5c"/>
      <w:shd w:color="auto" w:fill="e1dfdd" w:val="clear"/>
    </w:rPr>
  </w:style>
  <w:style w:type="paragraph" w:styleId="Default" w:customStyle="1">
    <w:name w:val="Default"/>
    <w:rsid w:val="00F812B4"/>
    <w:pPr>
      <w:autoSpaceDE w:val="0"/>
      <w:autoSpaceDN w:val="0"/>
      <w:adjustRightInd w:val="0"/>
      <w:spacing w:after="0" w:line="240" w:lineRule="auto"/>
    </w:pPr>
    <w:rPr>
      <w:rFonts w:ascii="Times New Roman" w:cs="Times New Roman" w:hAnsi="Times New Roman" w:eastAsiaTheme="minorHAnsi"/>
      <w:color w:val="000000"/>
      <w:sz w:val="24"/>
      <w:szCs w:val="24"/>
      <w:lang w:eastAsia="en-US" w:val="es-ES"/>
    </w:rPr>
  </w:style>
  <w:style w:type="character" w:styleId="None" w:customStyle="1">
    <w:name w:val="None"/>
    <w:rsid w:val="006B1E27"/>
    <w:rPr>
      <w:lang w:val="en-US"/>
    </w:rPr>
  </w:style>
  <w:style w:type="character" w:styleId="MenoPendente1" w:customStyle="1">
    <w:name w:val="Menção Pendente1"/>
    <w:basedOn w:val="Fontepargpadro"/>
    <w:uiPriority w:val="99"/>
    <w:semiHidden w:val="1"/>
    <w:unhideWhenUsed w:val="1"/>
    <w:rsid w:val="00D13BF5"/>
    <w:rPr>
      <w:color w:val="605e5c"/>
      <w:shd w:color="auto" w:fill="e1dfdd" w:val="clear"/>
    </w:rPr>
  </w:style>
  <w:style w:type="character" w:styleId="Nmerodelinha">
    <w:name w:val="line number"/>
    <w:basedOn w:val="Fontepargpadro"/>
    <w:uiPriority w:val="99"/>
    <w:semiHidden w:val="1"/>
    <w:unhideWhenUsed w:val="1"/>
    <w:rsid w:val="00627543"/>
  </w:style>
  <w:style w:type="character" w:styleId="HiperlinkVisitado">
    <w:name w:val="FollowedHyperlink"/>
    <w:basedOn w:val="Fontepargpadro"/>
    <w:uiPriority w:val="99"/>
    <w:semiHidden w:val="1"/>
    <w:unhideWhenUsed w:val="1"/>
    <w:rsid w:val="00817450"/>
    <w:rPr>
      <w:color w:val="800080" w:themeColor="followedHyperlink"/>
      <w:u w:val="single"/>
    </w:rPr>
  </w:style>
  <w:style w:type="table" w:styleId="3" w:customStyle="1">
    <w:name w:val="3"/>
    <w:basedOn w:val="Tabelanormal"/>
    <w:rsid w:val="00EF1F14"/>
    <w:pPr>
      <w:spacing w:after="200" w:line="276" w:lineRule="auto"/>
    </w:pPr>
    <w:rPr>
      <w:lang w:val="en-US"/>
    </w:rPr>
    <w:tblPr>
      <w:tblStyleRowBandSize w:val="1"/>
      <w:tblStyleColBandSize w:val="1"/>
      <w:tblInd w:w="0.0" w:type="dxa"/>
      <w:tblCellMar>
        <w:top w:w="0.0" w:type="dxa"/>
        <w:left w:w="70.0" w:type="dxa"/>
        <w:bottom w:w="0.0" w:type="dxa"/>
        <w:right w:w="70.0" w:type="dxa"/>
      </w:tblCellMar>
    </w:tblPr>
  </w:style>
  <w:style w:type="table" w:styleId="Tabelacomgrade">
    <w:name w:val="Table Grid"/>
    <w:basedOn w:val="Tabelanormal"/>
    <w:uiPriority w:val="59"/>
    <w:rsid w:val="004E022E"/>
    <w:pPr>
      <w:spacing w:after="0" w:line="240" w:lineRule="auto"/>
    </w:pPr>
    <w:rPr>
      <w:rFonts w:asciiTheme="minorHAnsi" w:cstheme="minorBidi" w:eastAsiaTheme="minorEastAsia" w:hAnsiTheme="minorHAnsi"/>
      <w:kern w:val="2"/>
      <w:sz w:val="21"/>
      <w:lang w:eastAsia="zh-CN" w:val="en-US"/>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paragraph" w:styleId="Authornames" w:customStyle="1">
    <w:name w:val="Author names"/>
    <w:basedOn w:val="Normal"/>
    <w:next w:val="Normal"/>
    <w:qFormat w:val="1"/>
    <w:rsid w:val="004E022E"/>
    <w:pPr>
      <w:spacing w:before="240"/>
    </w:pPr>
    <w:rPr>
      <w:rFonts w:ascii="Times New Roman" w:cs="Times New Roman" w:eastAsia="Times New Roman" w:hAnsi="Times New Roman"/>
      <w:sz w:val="28"/>
      <w:szCs w:val="24"/>
      <w:lang w:eastAsia="en-GB"/>
    </w:rPr>
  </w:style>
  <w:style w:type="character" w:styleId="gmaildefault" w:customStyle="1">
    <w:name w:val="gmail_default"/>
    <w:basedOn w:val="Fontepargpadro"/>
    <w:rsid w:val="00560EA6"/>
  </w:style>
  <w:style w:type="character" w:styleId="Text" w:customStyle="1">
    <w:name w:val="Text"/>
    <w:rsid w:val="0043268A"/>
    <w:rPr>
      <w:rFonts w:ascii="Arial" w:hAnsi="Arial"/>
      <w:sz w:val="24"/>
      <w:szCs w:val="20"/>
      <w:lang w:val="en-US"/>
    </w:rPr>
  </w:style>
  <w:style w:type="paragraph" w:styleId="Prrafodelista1" w:customStyle="1">
    <w:name w:val="Párrafo de lista1"/>
    <w:basedOn w:val="Normal"/>
    <w:rsid w:val="000E42C3"/>
    <w:pPr>
      <w:suppressAutoHyphens w:val="1"/>
      <w:spacing w:line="240" w:lineRule="auto"/>
      <w:ind w:left="720"/>
    </w:pPr>
    <w:rPr>
      <w:rFonts w:ascii="Times New Roman" w:cs="Times New Roman" w:eastAsia="Lucida Sans Unicode" w:hAnsi="Times New Roman"/>
      <w:kern w:val="1"/>
      <w:sz w:val="24"/>
      <w:szCs w:val="24"/>
      <w:lang w:bidi="hi-IN" w:eastAsia="hi-IN" w:val="es-ES"/>
    </w:rPr>
  </w:style>
  <w:style w:type="character" w:styleId="MenoPendente2" w:customStyle="1">
    <w:name w:val="Menção Pendente2"/>
    <w:basedOn w:val="Fontepargpadro"/>
    <w:uiPriority w:val="99"/>
    <w:semiHidden w:val="1"/>
    <w:unhideWhenUsed w:val="1"/>
    <w:rsid w:val="008378DF"/>
    <w:rPr>
      <w:color w:val="605e5c"/>
      <w:shd w:color="auto" w:fill="e1dfdd" w:val="clear"/>
    </w:r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59"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wp.scielo.org/wp-content/uploads/guia-de-citacao-de-dados_pt.pdf" TargetMode="External"/><Relationship Id="rId10" Type="http://schemas.openxmlformats.org/officeDocument/2006/relationships/chart" Target="charts/chart1.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pm.org/en/measurement-units/"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fao.org/agrovoc/" TargetMode="External"/><Relationship Id="rId8" Type="http://schemas.openxmlformats.org/officeDocument/2006/relationships/hyperlink" Target="https://www.fao.org/agrovoc/"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ambriaMath-regular.ttf"/></Relationships>
</file>

<file path=word/charts/_rels/chart1.xml.rels><?xml version="1.0" encoding="UTF-8" standalone="yes"?><Relationships xmlns="http://schemas.openxmlformats.org/package/2006/relationships"><Relationship Id="rId1" Type="http://schemas.openxmlformats.org/officeDocument/2006/relationships/oleObject" Target="file:///C:\Users\UFLA\Documents\DOCUMENTOS\UFLA\Orienta&#231;&#227;o%20P&#243;s-gradua&#231;&#227;o\Mestrado%20-%20Jucimar%20Moreira%20de%20Oliveira\Figo%20cultivares\DADOS%20CLIMATOLOGICOS%20ARTIGO%201%20FIGO.xls" TargetMode="External"/><Relationship Id="rId2"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t-B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201720202490046E-2"/>
          <c:y val="5.4285714285714333E-2"/>
          <c:w val="0.81706998946923859"/>
          <c:h val="0.70409197138029245"/>
        </c:manualLayout>
      </c:layout>
      <c:barChart>
        <c:barDir val="col"/>
        <c:grouping val="clustered"/>
        <c:varyColors val="0"/>
        <c:ser>
          <c:idx val="1"/>
          <c:order val="0"/>
          <c:tx>
            <c:strRef>
              <c:f>Plan1!$B$35:$D$35</c:f>
              <c:strCache>
                <c:ptCount val="1"/>
                <c:pt idx="0">
                  <c:v>Tº MAX Tº MIN PRECI</c:v>
                </c:pt>
              </c:strCache>
            </c:strRef>
          </c:tx>
          <c:spPr>
            <a:solidFill>
              <a:srgbClr val="FFFFFF"/>
            </a:solidFill>
            <a:ln w="12700">
              <a:solidFill>
                <a:srgbClr val="000000"/>
              </a:solidFill>
              <a:prstDash val="solid"/>
            </a:ln>
            <a:effectLst/>
          </c:spPr>
          <c:invertIfNegative val="0"/>
          <c:cat>
            <c:strRef>
              <c:f>Plan1!$A$37:$A$61</c:f>
              <c:strCache>
                <c:ptCount val="25"/>
                <c:pt idx="0">
                  <c:v>M</c:v>
                </c:pt>
                <c:pt idx="1">
                  <c:v>J</c:v>
                </c:pt>
                <c:pt idx="2">
                  <c:v>J</c:v>
                </c:pt>
                <c:pt idx="3">
                  <c:v>A</c:v>
                </c:pt>
                <c:pt idx="4">
                  <c:v>S</c:v>
                </c:pt>
                <c:pt idx="5">
                  <c:v>O</c:v>
                </c:pt>
                <c:pt idx="6">
                  <c:v>N</c:v>
                </c:pt>
                <c:pt idx="7">
                  <c:v>D</c:v>
                </c:pt>
                <c:pt idx="8">
                  <c:v>J</c:v>
                </c:pt>
                <c:pt idx="9">
                  <c:v>F</c:v>
                </c:pt>
                <c:pt idx="10">
                  <c:v>M</c:v>
                </c:pt>
                <c:pt idx="11">
                  <c:v>A</c:v>
                </c:pt>
                <c:pt idx="12">
                  <c:v>M</c:v>
                </c:pt>
                <c:pt idx="13">
                  <c:v>J</c:v>
                </c:pt>
                <c:pt idx="14">
                  <c:v>J</c:v>
                </c:pt>
                <c:pt idx="15">
                  <c:v>A</c:v>
                </c:pt>
                <c:pt idx="16">
                  <c:v>S</c:v>
                </c:pt>
                <c:pt idx="17">
                  <c:v>O</c:v>
                </c:pt>
                <c:pt idx="18">
                  <c:v>N</c:v>
                </c:pt>
                <c:pt idx="19">
                  <c:v>D</c:v>
                </c:pt>
                <c:pt idx="20">
                  <c:v>J</c:v>
                </c:pt>
                <c:pt idx="21">
                  <c:v>F</c:v>
                </c:pt>
                <c:pt idx="22">
                  <c:v>M</c:v>
                </c:pt>
                <c:pt idx="23">
                  <c:v>A</c:v>
                </c:pt>
                <c:pt idx="24">
                  <c:v>M</c:v>
                </c:pt>
              </c:strCache>
            </c:strRef>
          </c:cat>
          <c:val>
            <c:numRef>
              <c:f>Plan1!$B$37:$B$61</c:f>
              <c:numCache>
                <c:formatCode>General</c:formatCode>
                <c:ptCount val="25"/>
                <c:pt idx="0">
                  <c:v>25.5</c:v>
                </c:pt>
                <c:pt idx="1">
                  <c:v>25.5</c:v>
                </c:pt>
                <c:pt idx="2">
                  <c:v>26.8</c:v>
                </c:pt>
                <c:pt idx="3">
                  <c:v>26.6</c:v>
                </c:pt>
                <c:pt idx="4">
                  <c:v>28.2</c:v>
                </c:pt>
                <c:pt idx="5">
                  <c:v>30</c:v>
                </c:pt>
                <c:pt idx="6">
                  <c:v>28.2</c:v>
                </c:pt>
                <c:pt idx="7">
                  <c:v>27.3</c:v>
                </c:pt>
                <c:pt idx="8">
                  <c:v>28.6</c:v>
                </c:pt>
                <c:pt idx="9">
                  <c:v>31.3</c:v>
                </c:pt>
                <c:pt idx="10">
                  <c:v>31.3</c:v>
                </c:pt>
                <c:pt idx="11">
                  <c:v>28.2</c:v>
                </c:pt>
                <c:pt idx="12">
                  <c:v>26.4</c:v>
                </c:pt>
                <c:pt idx="13">
                  <c:v>25.7</c:v>
                </c:pt>
                <c:pt idx="14">
                  <c:v>26.2</c:v>
                </c:pt>
                <c:pt idx="15">
                  <c:v>28.2</c:v>
                </c:pt>
                <c:pt idx="16">
                  <c:v>31.9</c:v>
                </c:pt>
                <c:pt idx="17">
                  <c:v>31.3</c:v>
                </c:pt>
                <c:pt idx="18">
                  <c:v>32.700000000000003</c:v>
                </c:pt>
                <c:pt idx="19">
                  <c:v>32.6</c:v>
                </c:pt>
                <c:pt idx="20" formatCode="0.00">
                  <c:v>30.539130434782606</c:v>
                </c:pt>
                <c:pt idx="21">
                  <c:v>30.7</c:v>
                </c:pt>
                <c:pt idx="22">
                  <c:v>30.9</c:v>
                </c:pt>
                <c:pt idx="23">
                  <c:v>30.5</c:v>
                </c:pt>
                <c:pt idx="24">
                  <c:v>30.759999999999987</c:v>
                </c:pt>
              </c:numCache>
            </c:numRef>
          </c:val>
          <c:extLst xmlns:c16r2="http://schemas.microsoft.com/office/drawing/2015/06/chart">
            <c:ext xmlns:c16="http://schemas.microsoft.com/office/drawing/2014/chart" uri="{C3380CC4-5D6E-409C-BE32-E72D297353CC}">
              <c16:uniqueId val="{00000000-AC84-4C52-917D-04C9EE5FBB66}"/>
            </c:ext>
          </c:extLst>
        </c:ser>
        <c:ser>
          <c:idx val="0"/>
          <c:order val="1"/>
          <c:tx>
            <c:strRef>
              <c:f>Plan1!$C$35</c:f>
              <c:strCache>
                <c:ptCount val="1"/>
                <c:pt idx="0">
                  <c:v>Tº MIN</c:v>
                </c:pt>
              </c:strCache>
            </c:strRef>
          </c:tx>
          <c:spPr>
            <a:solidFill>
              <a:schemeClr val="tx1">
                <a:lumMod val="50000"/>
                <a:lumOff val="50000"/>
              </a:schemeClr>
            </a:solidFill>
            <a:ln w="12700">
              <a:solidFill>
                <a:srgbClr val="000000"/>
              </a:solidFill>
              <a:prstDash val="solid"/>
            </a:ln>
            <a:effectLst/>
          </c:spPr>
          <c:invertIfNegative val="0"/>
          <c:cat>
            <c:strRef>
              <c:f>Plan1!$A$37:$A$61</c:f>
              <c:strCache>
                <c:ptCount val="25"/>
                <c:pt idx="0">
                  <c:v>M</c:v>
                </c:pt>
                <c:pt idx="1">
                  <c:v>J</c:v>
                </c:pt>
                <c:pt idx="2">
                  <c:v>J</c:v>
                </c:pt>
                <c:pt idx="3">
                  <c:v>A</c:v>
                </c:pt>
                <c:pt idx="4">
                  <c:v>S</c:v>
                </c:pt>
                <c:pt idx="5">
                  <c:v>O</c:v>
                </c:pt>
                <c:pt idx="6">
                  <c:v>N</c:v>
                </c:pt>
                <c:pt idx="7">
                  <c:v>D</c:v>
                </c:pt>
                <c:pt idx="8">
                  <c:v>J</c:v>
                </c:pt>
                <c:pt idx="9">
                  <c:v>F</c:v>
                </c:pt>
                <c:pt idx="10">
                  <c:v>M</c:v>
                </c:pt>
                <c:pt idx="11">
                  <c:v>A</c:v>
                </c:pt>
                <c:pt idx="12">
                  <c:v>M</c:v>
                </c:pt>
                <c:pt idx="13">
                  <c:v>J</c:v>
                </c:pt>
                <c:pt idx="14">
                  <c:v>J</c:v>
                </c:pt>
                <c:pt idx="15">
                  <c:v>A</c:v>
                </c:pt>
                <c:pt idx="16">
                  <c:v>S</c:v>
                </c:pt>
                <c:pt idx="17">
                  <c:v>O</c:v>
                </c:pt>
                <c:pt idx="18">
                  <c:v>N</c:v>
                </c:pt>
                <c:pt idx="19">
                  <c:v>D</c:v>
                </c:pt>
                <c:pt idx="20">
                  <c:v>J</c:v>
                </c:pt>
                <c:pt idx="21">
                  <c:v>F</c:v>
                </c:pt>
                <c:pt idx="22">
                  <c:v>M</c:v>
                </c:pt>
                <c:pt idx="23">
                  <c:v>A</c:v>
                </c:pt>
                <c:pt idx="24">
                  <c:v>M</c:v>
                </c:pt>
              </c:strCache>
            </c:strRef>
          </c:cat>
          <c:val>
            <c:numRef>
              <c:f>Plan1!$C$37:$C$61</c:f>
              <c:numCache>
                <c:formatCode>General</c:formatCode>
                <c:ptCount val="25"/>
                <c:pt idx="0">
                  <c:v>12.4</c:v>
                </c:pt>
                <c:pt idx="1">
                  <c:v>11.7</c:v>
                </c:pt>
                <c:pt idx="2">
                  <c:v>11.5</c:v>
                </c:pt>
                <c:pt idx="3">
                  <c:v>12.8</c:v>
                </c:pt>
                <c:pt idx="4">
                  <c:v>14.8</c:v>
                </c:pt>
                <c:pt idx="5">
                  <c:v>17.5</c:v>
                </c:pt>
                <c:pt idx="6">
                  <c:v>16</c:v>
                </c:pt>
                <c:pt idx="7">
                  <c:v>18</c:v>
                </c:pt>
                <c:pt idx="8">
                  <c:v>18.7</c:v>
                </c:pt>
                <c:pt idx="9">
                  <c:v>19.100000000000001</c:v>
                </c:pt>
                <c:pt idx="10">
                  <c:v>18.600000000000001</c:v>
                </c:pt>
                <c:pt idx="11">
                  <c:v>17.100000000000001</c:v>
                </c:pt>
                <c:pt idx="12">
                  <c:v>13.5</c:v>
                </c:pt>
                <c:pt idx="13">
                  <c:v>11.5</c:v>
                </c:pt>
                <c:pt idx="14">
                  <c:v>12.7</c:v>
                </c:pt>
                <c:pt idx="15">
                  <c:v>14.2</c:v>
                </c:pt>
                <c:pt idx="16">
                  <c:v>16.8</c:v>
                </c:pt>
                <c:pt idx="17">
                  <c:v>19.600000000000001</c:v>
                </c:pt>
                <c:pt idx="18">
                  <c:v>18.8</c:v>
                </c:pt>
                <c:pt idx="19">
                  <c:v>19.7</c:v>
                </c:pt>
                <c:pt idx="20" formatCode="0.00">
                  <c:v>19.13684210526316</c:v>
                </c:pt>
                <c:pt idx="21">
                  <c:v>19.5</c:v>
                </c:pt>
                <c:pt idx="22">
                  <c:v>20.2</c:v>
                </c:pt>
                <c:pt idx="23">
                  <c:v>18</c:v>
                </c:pt>
                <c:pt idx="24">
                  <c:v>16.369999999999987</c:v>
                </c:pt>
              </c:numCache>
            </c:numRef>
          </c:val>
          <c:extLst xmlns:c16r2="http://schemas.microsoft.com/office/drawing/2015/06/chart">
            <c:ext xmlns:c16="http://schemas.microsoft.com/office/drawing/2014/chart" uri="{C3380CC4-5D6E-409C-BE32-E72D297353CC}">
              <c16:uniqueId val="{00000001-AC84-4C52-917D-04C9EE5FBB66}"/>
            </c:ext>
          </c:extLst>
        </c:ser>
        <c:dLbls>
          <c:showLegendKey val="0"/>
          <c:showVal val="0"/>
          <c:showCatName val="0"/>
          <c:showSerName val="0"/>
          <c:showPercent val="0"/>
          <c:showBubbleSize val="0"/>
        </c:dLbls>
        <c:gapWidth val="150"/>
        <c:axId val="276212936"/>
        <c:axId val="276214112"/>
      </c:barChart>
      <c:lineChart>
        <c:grouping val="standard"/>
        <c:varyColors val="0"/>
        <c:ser>
          <c:idx val="2"/>
          <c:order val="2"/>
          <c:tx>
            <c:strRef>
              <c:f>Plan1!$D$35</c:f>
              <c:strCache>
                <c:ptCount val="1"/>
                <c:pt idx="0">
                  <c:v>PRECI</c:v>
                </c:pt>
              </c:strCache>
            </c:strRef>
          </c:tx>
          <c:spPr>
            <a:ln w="12700">
              <a:solidFill>
                <a:srgbClr val="000000"/>
              </a:solidFill>
              <a:prstDash val="solid"/>
            </a:ln>
          </c:spPr>
          <c:marker>
            <c:symbol val="triangle"/>
            <c:size val="5"/>
            <c:spPr>
              <a:solidFill>
                <a:srgbClr val="000000"/>
              </a:solidFill>
              <a:ln>
                <a:solidFill>
                  <a:srgbClr val="000000"/>
                </a:solidFill>
                <a:prstDash val="solid"/>
              </a:ln>
            </c:spPr>
          </c:marker>
          <c:cat>
            <c:strRef>
              <c:f>Plan1!$A$37:$A$61</c:f>
              <c:strCache>
                <c:ptCount val="25"/>
                <c:pt idx="0">
                  <c:v>M</c:v>
                </c:pt>
                <c:pt idx="1">
                  <c:v>J</c:v>
                </c:pt>
                <c:pt idx="2">
                  <c:v>J</c:v>
                </c:pt>
                <c:pt idx="3">
                  <c:v>A</c:v>
                </c:pt>
                <c:pt idx="4">
                  <c:v>S</c:v>
                </c:pt>
                <c:pt idx="5">
                  <c:v>O</c:v>
                </c:pt>
                <c:pt idx="6">
                  <c:v>N</c:v>
                </c:pt>
                <c:pt idx="7">
                  <c:v>D</c:v>
                </c:pt>
                <c:pt idx="8">
                  <c:v>J</c:v>
                </c:pt>
                <c:pt idx="9">
                  <c:v>F</c:v>
                </c:pt>
                <c:pt idx="10">
                  <c:v>M</c:v>
                </c:pt>
                <c:pt idx="11">
                  <c:v>A</c:v>
                </c:pt>
                <c:pt idx="12">
                  <c:v>M</c:v>
                </c:pt>
                <c:pt idx="13">
                  <c:v>J</c:v>
                </c:pt>
                <c:pt idx="14">
                  <c:v>J</c:v>
                </c:pt>
                <c:pt idx="15">
                  <c:v>A</c:v>
                </c:pt>
                <c:pt idx="16">
                  <c:v>S</c:v>
                </c:pt>
                <c:pt idx="17">
                  <c:v>O</c:v>
                </c:pt>
                <c:pt idx="18">
                  <c:v>N</c:v>
                </c:pt>
                <c:pt idx="19">
                  <c:v>D</c:v>
                </c:pt>
                <c:pt idx="20">
                  <c:v>J</c:v>
                </c:pt>
                <c:pt idx="21">
                  <c:v>F</c:v>
                </c:pt>
                <c:pt idx="22">
                  <c:v>M</c:v>
                </c:pt>
                <c:pt idx="23">
                  <c:v>A</c:v>
                </c:pt>
                <c:pt idx="24">
                  <c:v>M</c:v>
                </c:pt>
              </c:strCache>
            </c:strRef>
          </c:cat>
          <c:val>
            <c:numRef>
              <c:f>Plan1!$D$37:$D$61</c:f>
              <c:numCache>
                <c:formatCode>General</c:formatCode>
                <c:ptCount val="25"/>
                <c:pt idx="0">
                  <c:v>4.5999999999999996</c:v>
                </c:pt>
                <c:pt idx="1">
                  <c:v>0.8</c:v>
                </c:pt>
                <c:pt idx="2">
                  <c:v>0</c:v>
                </c:pt>
                <c:pt idx="3">
                  <c:v>12.2</c:v>
                </c:pt>
                <c:pt idx="4">
                  <c:v>80</c:v>
                </c:pt>
                <c:pt idx="5">
                  <c:v>108.4</c:v>
                </c:pt>
                <c:pt idx="6">
                  <c:v>174.4</c:v>
                </c:pt>
                <c:pt idx="7">
                  <c:v>260.60000000000002</c:v>
                </c:pt>
                <c:pt idx="8">
                  <c:v>582</c:v>
                </c:pt>
                <c:pt idx="9">
                  <c:v>123.9</c:v>
                </c:pt>
                <c:pt idx="10">
                  <c:v>97</c:v>
                </c:pt>
                <c:pt idx="11">
                  <c:v>102</c:v>
                </c:pt>
                <c:pt idx="12">
                  <c:v>0.8</c:v>
                </c:pt>
                <c:pt idx="13">
                  <c:v>8.8000000000000007</c:v>
                </c:pt>
                <c:pt idx="14">
                  <c:v>6.8</c:v>
                </c:pt>
                <c:pt idx="15">
                  <c:v>31.4</c:v>
                </c:pt>
                <c:pt idx="16">
                  <c:v>38.9</c:v>
                </c:pt>
                <c:pt idx="17">
                  <c:v>167.5</c:v>
                </c:pt>
                <c:pt idx="18">
                  <c:v>135.9</c:v>
                </c:pt>
                <c:pt idx="19">
                  <c:v>126</c:v>
                </c:pt>
                <c:pt idx="20" formatCode="0.00">
                  <c:v>9.8173913043478187</c:v>
                </c:pt>
                <c:pt idx="21">
                  <c:v>267.2</c:v>
                </c:pt>
                <c:pt idx="22">
                  <c:v>176</c:v>
                </c:pt>
                <c:pt idx="23">
                  <c:v>33.200000000000003</c:v>
                </c:pt>
                <c:pt idx="24">
                  <c:v>0</c:v>
                </c:pt>
              </c:numCache>
            </c:numRef>
          </c:val>
          <c:smooth val="0"/>
          <c:extLst xmlns:c16r2="http://schemas.microsoft.com/office/drawing/2015/06/chart">
            <c:ext xmlns:c16="http://schemas.microsoft.com/office/drawing/2014/chart" uri="{C3380CC4-5D6E-409C-BE32-E72D297353CC}">
              <c16:uniqueId val="{00000002-AC84-4C52-917D-04C9EE5FBB66}"/>
            </c:ext>
          </c:extLst>
        </c:ser>
        <c:dLbls>
          <c:showLegendKey val="0"/>
          <c:showVal val="0"/>
          <c:showCatName val="0"/>
          <c:showSerName val="0"/>
          <c:showPercent val="0"/>
          <c:showBubbleSize val="0"/>
        </c:dLbls>
        <c:marker val="1"/>
        <c:smooth val="0"/>
        <c:axId val="276214504"/>
        <c:axId val="276215288"/>
      </c:lineChart>
      <c:catAx>
        <c:axId val="276212936"/>
        <c:scaling>
          <c:orientation val="minMax"/>
        </c:scaling>
        <c:delete val="0"/>
        <c:axPos val="b"/>
        <c:numFmt formatCode="General" sourceLinked="1"/>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Times New Roman"/>
                <a:ea typeface="Times New Roman"/>
                <a:cs typeface="Times New Roman"/>
              </a:defRPr>
            </a:pPr>
            <a:endParaRPr lang="pt-BR"/>
          </a:p>
        </c:txPr>
        <c:crossAx val="276214112"/>
        <c:crosses val="autoZero"/>
        <c:auto val="0"/>
        <c:lblAlgn val="ctr"/>
        <c:lblOffset val="100"/>
        <c:tickLblSkip val="1"/>
        <c:tickMarkSkip val="1"/>
        <c:noMultiLvlLbl val="0"/>
      </c:catAx>
      <c:valAx>
        <c:axId val="276214112"/>
        <c:scaling>
          <c:orientation val="minMax"/>
        </c:scaling>
        <c:delete val="0"/>
        <c:axPos val="l"/>
        <c:title>
          <c:tx>
            <c:rich>
              <a:bodyPr/>
              <a:lstStyle/>
              <a:p>
                <a:pPr>
                  <a:defRPr sz="1000" b="0" i="0" u="none" strike="noStrike" baseline="0">
                    <a:solidFill>
                      <a:srgbClr val="000000"/>
                    </a:solidFill>
                    <a:latin typeface="Arial" pitchFamily="34" charset="0"/>
                    <a:ea typeface="Times New Roman"/>
                    <a:cs typeface="Times New Roman"/>
                  </a:defRPr>
                </a:pPr>
                <a:r>
                  <a:rPr lang="pt-BR" baseline="0">
                    <a:latin typeface="Times New Roman" pitchFamily="18" charset="0"/>
                    <a:cs typeface="Times New Roman" pitchFamily="18" charset="0"/>
                  </a:rPr>
                  <a:t>Temperature (°C)</a:t>
                </a:r>
              </a:p>
            </c:rich>
          </c:tx>
          <c:layout>
            <c:manualLayout>
              <c:xMode val="edge"/>
              <c:yMode val="edge"/>
              <c:x val="2.6861507176468022E-3"/>
              <c:y val="0.26153844355201705"/>
            </c:manualLayout>
          </c:layout>
          <c:overlay val="0"/>
          <c:spPr>
            <a:noFill/>
            <a:ln w="25400">
              <a:noFill/>
            </a:ln>
          </c:spPr>
        </c:title>
        <c:numFmt formatCode="0" sourceLinked="0"/>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Times New Roman" pitchFamily="18" charset="0"/>
                <a:ea typeface="Times New Roman"/>
                <a:cs typeface="Times New Roman" pitchFamily="18" charset="0"/>
              </a:defRPr>
            </a:pPr>
            <a:endParaRPr lang="pt-BR"/>
          </a:p>
        </c:txPr>
        <c:crossAx val="276212936"/>
        <c:crosses val="autoZero"/>
        <c:crossBetween val="between"/>
      </c:valAx>
      <c:catAx>
        <c:axId val="276214504"/>
        <c:scaling>
          <c:orientation val="minMax"/>
        </c:scaling>
        <c:delete val="1"/>
        <c:axPos val="b"/>
        <c:numFmt formatCode="General" sourceLinked="1"/>
        <c:majorTickMark val="out"/>
        <c:minorTickMark val="none"/>
        <c:tickLblPos val="none"/>
        <c:crossAx val="276215288"/>
        <c:crosses val="autoZero"/>
        <c:auto val="0"/>
        <c:lblAlgn val="ctr"/>
        <c:lblOffset val="100"/>
        <c:noMultiLvlLbl val="0"/>
      </c:catAx>
      <c:valAx>
        <c:axId val="276215288"/>
        <c:scaling>
          <c:orientation val="minMax"/>
        </c:scaling>
        <c:delete val="0"/>
        <c:axPos val="r"/>
        <c:title>
          <c:tx>
            <c:rich>
              <a:bodyPr/>
              <a:lstStyle/>
              <a:p>
                <a:pPr>
                  <a:defRPr sz="1000" b="0" i="0" u="none" strike="noStrike" baseline="0">
                    <a:solidFill>
                      <a:srgbClr val="000000"/>
                    </a:solidFill>
                    <a:latin typeface="Times New Roman" pitchFamily="18" charset="0"/>
                    <a:ea typeface="Times New Roman"/>
                    <a:cs typeface="Times New Roman" pitchFamily="18" charset="0"/>
                  </a:defRPr>
                </a:pPr>
                <a:r>
                  <a:rPr lang="pt-BR" baseline="0">
                    <a:latin typeface="Times New Roman" pitchFamily="18" charset="0"/>
                    <a:cs typeface="Times New Roman" pitchFamily="18" charset="0"/>
                  </a:rPr>
                  <a:t>Precipitation (mm)</a:t>
                </a:r>
              </a:p>
            </c:rich>
          </c:tx>
          <c:layout>
            <c:manualLayout>
              <c:xMode val="edge"/>
              <c:yMode val="edge"/>
              <c:x val="0.95806247192073957"/>
              <c:y val="0.32207191250314232"/>
            </c:manualLayout>
          </c:layout>
          <c:overlay val="0"/>
          <c:spPr>
            <a:noFill/>
            <a:ln w="25400">
              <a:noFill/>
            </a:ln>
          </c:spPr>
        </c:title>
        <c:numFmt formatCode="0" sourceLinked="0"/>
        <c:majorTickMark val="cross"/>
        <c:minorTickMark val="none"/>
        <c:tickLblPos val="nextTo"/>
        <c:spPr>
          <a:ln w="3175">
            <a:solidFill>
              <a:srgbClr val="000000"/>
            </a:solidFill>
            <a:prstDash val="solid"/>
          </a:ln>
        </c:spPr>
        <c:txPr>
          <a:bodyPr rot="0" vert="horz"/>
          <a:lstStyle/>
          <a:p>
            <a:pPr>
              <a:defRPr sz="1000" b="0" i="0" u="none" strike="noStrike" baseline="0">
                <a:solidFill>
                  <a:srgbClr val="000000"/>
                </a:solidFill>
                <a:latin typeface="Times New Roman" pitchFamily="18" charset="0"/>
                <a:ea typeface="Arial"/>
                <a:cs typeface="Times New Roman" pitchFamily="18" charset="0"/>
              </a:defRPr>
            </a:pPr>
            <a:endParaRPr lang="pt-BR"/>
          </a:p>
        </c:txPr>
        <c:crossAx val="276214504"/>
        <c:crosses val="max"/>
        <c:crossBetween val="between"/>
      </c:valAx>
      <c:spPr>
        <a:noFill/>
        <a:ln w="25400">
          <a:noFill/>
        </a:ln>
      </c:spPr>
    </c:plotArea>
    <c:plotVisOnly val="1"/>
    <c:dispBlanksAs val="gap"/>
    <c:showDLblsOverMax val="0"/>
  </c:chart>
  <c:spPr>
    <a:noFill/>
    <a:ln w="9525">
      <a:noFill/>
    </a:ln>
  </c:spPr>
  <c:txPr>
    <a:bodyPr/>
    <a:lstStyle/>
    <a:p>
      <a:pPr>
        <a:defRPr sz="1000" b="0" i="0" u="none" strike="noStrike" baseline="0">
          <a:solidFill>
            <a:srgbClr val="000000"/>
          </a:solidFill>
          <a:latin typeface="Arial"/>
          <a:ea typeface="Arial"/>
          <a:cs typeface="Arial"/>
        </a:defRPr>
      </a:pPr>
      <a:endParaRPr lang="pt-BR"/>
    </a:p>
  </c:txPr>
  <c:externalData r:id="rId1">
    <c:autoUpdate val="0"/>
  </c:externalData>
  <c:userShapes r:id="rId2"/>
</c:chartSpace>
</file>

<file path=word/drawings/_rels/drawing1.xml.rels><?xml version="1.0" encoding="UTF-8" standalone="yes"?><Relationships xmlns="http://schemas.openxmlformats.org/package/2006/relationships"><Relationship Id="rId1" Type="http://schemas.openxmlformats.org/officeDocument/2006/relationships/image" Target="../media/image1.png"/></Relationships>
</file>

<file path=word/drawings/drawing1.xml><?xml version="1.0" encoding="utf-8"?>
<c:userShapes xmlns:c="http://schemas.openxmlformats.org/drawingml/2006/chart">
  <cdr:relSizeAnchor xmlns:cdr="http://schemas.openxmlformats.org/drawingml/2006/chartDrawing">
    <cdr:from>
      <cdr:x>0</cdr:x>
      <cdr:y>0</cdr:y>
    </cdr:from>
    <cdr:to>
      <cdr:x>0</cdr:x>
      <cdr:y>0</cdr:y>
    </cdr:to>
    <cdr:sp macro="" textlink="">
      <cdr:nvSpPr>
        <cdr:cNvPr id="17" name="Conector reto 16"/>
        <cdr:cNvSpPr/>
      </cdr:nvSpPr>
      <cdr:spPr bwMode="auto">
        <a:xfrm xmlns:a="http://schemas.openxmlformats.org/drawingml/2006/main" flipV="1">
          <a:off x="-2809875" y="-13554075"/>
          <a:ext cx="0" cy="0"/>
        </a:xfrm>
        <a:prstGeom xmlns:a="http://schemas.openxmlformats.org/drawingml/2006/main" prst="line">
          <a:avLst/>
        </a:prstGeom>
        <a:solidFill xmlns:a="http://schemas.openxmlformats.org/drawingml/2006/main">
          <a:srgbClr val="FFFFFF"/>
        </a:solidFill>
        <a:ln xmlns:a="http://schemas.openxmlformats.org/drawingml/2006/main" w="9525">
          <a:solidFill>
            <a:srgbClr val="000000"/>
          </a:solidFill>
          <a:prstDash val="solid"/>
          <a:round/>
          <a:headEnd/>
          <a:tailEnd/>
        </a:ln>
        <a:effectLst xmlns:a="http://schemas.openxmlformats.org/drawingml/2006/main"/>
      </cdr:spPr>
      <cdr:txBody>
        <a:bodyPr xmlns:a="http://schemas.openxmlformats.org/drawingml/2006/main" wrap="square" lIns="18288" tIns="0" rIns="0" bIns="0" upright="1"/>
        <a:lstStyle xmlns:a="http://schemas.openxmlformats.org/drawingml/2006/main"/>
        <a:p xmlns:a="http://schemas.openxmlformats.org/drawingml/2006/main">
          <a:endParaRPr lang="pt-BR"/>
        </a:p>
      </cdr:txBody>
    </cdr:sp>
  </cdr:relSizeAnchor>
  <cdr:relSizeAnchor xmlns:cdr="http://schemas.openxmlformats.org/drawingml/2006/chartDrawing">
    <cdr:from>
      <cdr:x>0</cdr:x>
      <cdr:y>0</cdr:y>
    </cdr:from>
    <cdr:to>
      <cdr:x>0.00448</cdr:x>
      <cdr:y>0.00731</cdr:y>
    </cdr:to>
    <cdr:pic>
      <cdr:nvPicPr>
        <cdr:cNvPr id="31" name="chart"/>
        <cdr:cNvPicPr>
          <a:picLocks xmlns:a="http://schemas.openxmlformats.org/drawingml/2006/main" noChangeAspect="1"/>
        </cdr:cNvPicPr>
      </cdr:nvPicPr>
      <cdr:blipFill>
        <a:blip xmlns:a="http://schemas.openxmlformats.org/drawingml/2006/main" xmlns:r="http://schemas.openxmlformats.org/officeDocument/2006/relationships" r:embed="rId1"/>
        <a:stretch xmlns:a="http://schemas.openxmlformats.org/drawingml/2006/main">
          <a:fillRect/>
        </a:stretch>
      </cdr:blipFill>
      <cdr:spPr>
        <a:xfrm xmlns:a="http://schemas.openxmlformats.org/drawingml/2006/main">
          <a:off x="0" y="0"/>
          <a:ext cx="24386" cy="24386"/>
        </a:xfrm>
        <a:prstGeom xmlns:a="http://schemas.openxmlformats.org/drawingml/2006/main" prst="rect">
          <a:avLst/>
        </a:prstGeom>
      </cdr:spPr>
    </cdr:pic>
  </cdr:relSizeAnchor>
  <cdr:relSizeAnchor xmlns:cdr="http://schemas.openxmlformats.org/drawingml/2006/chartDrawing">
    <cdr:from>
      <cdr:x>0.17207</cdr:x>
      <cdr:y>0.85986</cdr:y>
    </cdr:from>
    <cdr:to>
      <cdr:x>0.26498</cdr:x>
      <cdr:y>0.91895</cdr:y>
    </cdr:to>
    <cdr:sp macro="" textlink="">
      <cdr:nvSpPr>
        <cdr:cNvPr id="9" name="CaixaDeTexto 2"/>
        <cdr:cNvSpPr txBox="1"/>
      </cdr:nvSpPr>
      <cdr:spPr>
        <a:xfrm xmlns:a="http://schemas.openxmlformats.org/drawingml/2006/main">
          <a:off x="1451844" y="3564340"/>
          <a:ext cx="783903" cy="244920"/>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pPr algn="ctr"/>
          <a:r>
            <a:rPr lang="pt-BR" sz="1000">
              <a:latin typeface="Times New Roman" pitchFamily="18" charset="0"/>
              <a:cs typeface="Times New Roman" pitchFamily="18" charset="0"/>
            </a:rPr>
            <a:t>2022</a:t>
          </a:r>
        </a:p>
      </cdr:txBody>
    </cdr:sp>
  </cdr:relSizeAnchor>
  <cdr:relSizeAnchor xmlns:cdr="http://schemas.openxmlformats.org/drawingml/2006/chartDrawing">
    <cdr:from>
      <cdr:x>0.3534</cdr:x>
      <cdr:y>0.85856</cdr:y>
    </cdr:from>
    <cdr:to>
      <cdr:x>0.72339</cdr:x>
      <cdr:y>0.86083</cdr:y>
    </cdr:to>
    <cdr:sp macro="" textlink="">
      <cdr:nvSpPr>
        <cdr:cNvPr id="15" name="Conector reto 14"/>
        <cdr:cNvSpPr/>
      </cdr:nvSpPr>
      <cdr:spPr bwMode="auto">
        <a:xfrm xmlns:a="http://schemas.openxmlformats.org/drawingml/2006/main">
          <a:off x="2981819" y="3558956"/>
          <a:ext cx="3121798" cy="9398"/>
        </a:xfrm>
        <a:prstGeom xmlns:a="http://schemas.openxmlformats.org/drawingml/2006/main" prst="line">
          <a:avLst/>
        </a:prstGeom>
        <a:solidFill xmlns:a="http://schemas.openxmlformats.org/drawingml/2006/main">
          <a:srgbClr val="FFFFFF"/>
        </a:solidFill>
        <a:ln xmlns:a="http://schemas.openxmlformats.org/drawingml/2006/main" w="19050">
          <a:solidFill>
            <a:srgbClr val="000000"/>
          </a:solidFill>
          <a:prstDash val="solid"/>
          <a:round/>
          <a:headEnd/>
          <a:tailEnd/>
        </a:ln>
        <a:effectLst xmlns:a="http://schemas.openxmlformats.org/drawingml/2006/main"/>
      </cdr:spPr>
      <cdr:txBody>
        <a:bodyPr xmlns:a="http://schemas.openxmlformats.org/drawingml/2006/main" wrap="square" lIns="18288" tIns="0" rIns="0" bIns="0" upright="1"/>
        <a:lstStyle xmlns:a="http://schemas.openxmlformats.org/drawingml/2006/main"/>
        <a:p xmlns:a="http://schemas.openxmlformats.org/drawingml/2006/main">
          <a:endParaRPr lang="pt-BR"/>
        </a:p>
      </cdr:txBody>
    </cdr:sp>
  </cdr:relSizeAnchor>
  <cdr:relSizeAnchor xmlns:cdr="http://schemas.openxmlformats.org/drawingml/2006/chartDrawing">
    <cdr:from>
      <cdr:x>0.07355</cdr:x>
      <cdr:y>0.8516</cdr:y>
    </cdr:from>
    <cdr:to>
      <cdr:x>0.34116</cdr:x>
      <cdr:y>0.85584</cdr:y>
    </cdr:to>
    <cdr:sp macro="" textlink="">
      <cdr:nvSpPr>
        <cdr:cNvPr id="16" name="Conector reto 15"/>
        <cdr:cNvSpPr/>
      </cdr:nvSpPr>
      <cdr:spPr bwMode="auto">
        <a:xfrm xmlns:a="http://schemas.openxmlformats.org/drawingml/2006/main">
          <a:off x="412751" y="2368550"/>
          <a:ext cx="1501884" cy="11798"/>
        </a:xfrm>
        <a:prstGeom xmlns:a="http://schemas.openxmlformats.org/drawingml/2006/main" prst="line">
          <a:avLst/>
        </a:prstGeom>
        <a:solidFill xmlns:a="http://schemas.openxmlformats.org/drawingml/2006/main">
          <a:srgbClr val="FFFFFF"/>
        </a:solidFill>
        <a:ln xmlns:a="http://schemas.openxmlformats.org/drawingml/2006/main" w="19050">
          <a:solidFill>
            <a:srgbClr val="000000"/>
          </a:solidFill>
          <a:prstDash val="solid"/>
          <a:round/>
          <a:headEnd/>
          <a:tailEnd/>
        </a:ln>
        <a:effectLst xmlns:a="http://schemas.openxmlformats.org/drawingml/2006/main"/>
      </cdr:spPr>
      <cdr:txBody>
        <a:bodyPr xmlns:a="http://schemas.openxmlformats.org/drawingml/2006/main" wrap="square" lIns="18288" tIns="0" rIns="0" bIns="0" upright="1"/>
        <a:lstStyle xmlns:a="http://schemas.openxmlformats.org/drawingml/2006/main"/>
        <a:p xmlns:a="http://schemas.openxmlformats.org/drawingml/2006/main">
          <a:endParaRPr lang="pt-BR"/>
        </a:p>
      </cdr:txBody>
    </cdr:sp>
  </cdr:relSizeAnchor>
  <cdr:relSizeAnchor xmlns:cdr="http://schemas.openxmlformats.org/drawingml/2006/chartDrawing">
    <cdr:from>
      <cdr:x>0.33443</cdr:x>
      <cdr:y>0.93792</cdr:y>
    </cdr:from>
    <cdr:to>
      <cdr:x>0.42359</cdr:x>
      <cdr:y>0.97178</cdr:y>
    </cdr:to>
    <cdr:sp macro="" textlink="">
      <cdr:nvSpPr>
        <cdr:cNvPr id="19" name="CaixaDeTexto 18"/>
        <cdr:cNvSpPr txBox="1"/>
      </cdr:nvSpPr>
      <cdr:spPr>
        <a:xfrm xmlns:a="http://schemas.openxmlformats.org/drawingml/2006/main">
          <a:off x="1876879" y="2608637"/>
          <a:ext cx="500378" cy="94175"/>
        </a:xfrm>
        <a:prstGeom xmlns:a="http://schemas.openxmlformats.org/drawingml/2006/main" prst="rect">
          <a:avLst/>
        </a:prstGeom>
        <a:solidFill xmlns:a="http://schemas.openxmlformats.org/drawingml/2006/main">
          <a:schemeClr val="tx1">
            <a:lumMod val="50000"/>
            <a:lumOff val="50000"/>
          </a:schemeClr>
        </a:solidFill>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defRPr/>
          </a:pPr>
          <a:endParaRPr lang="pt-BR" sz="1100" b="0" i="0" baseline="0">
            <a:latin typeface="+mn-lt"/>
            <a:ea typeface="+mn-ea"/>
            <a:cs typeface="+mn-cs"/>
          </a:endParaRPr>
        </a:p>
        <a:p xmlns:a="http://schemas.openxmlformats.org/drawingml/2006/main">
          <a:endParaRPr lang="pt-BR" sz="1100"/>
        </a:p>
      </cdr:txBody>
    </cdr:sp>
  </cdr:relSizeAnchor>
  <cdr:relSizeAnchor xmlns:cdr="http://schemas.openxmlformats.org/drawingml/2006/chartDrawing">
    <cdr:from>
      <cdr:x>0.14118</cdr:x>
      <cdr:y>0.93907</cdr:y>
    </cdr:from>
    <cdr:to>
      <cdr:x>0.23034</cdr:x>
      <cdr:y>0.97292</cdr:y>
    </cdr:to>
    <cdr:sp macro="" textlink="">
      <cdr:nvSpPr>
        <cdr:cNvPr id="20" name="CaixaDeTexto 1"/>
        <cdr:cNvSpPr txBox="1"/>
      </cdr:nvSpPr>
      <cdr:spPr>
        <a:xfrm xmlns:a="http://schemas.openxmlformats.org/drawingml/2006/main">
          <a:off x="792315" y="2611835"/>
          <a:ext cx="500377" cy="94147"/>
        </a:xfrm>
        <a:prstGeom xmlns:a="http://schemas.openxmlformats.org/drawingml/2006/main" prst="rect">
          <a:avLst/>
        </a:prstGeom>
        <a:solidFill xmlns:a="http://schemas.openxmlformats.org/drawingml/2006/main">
          <a:schemeClr val="bg1"/>
        </a:solidFill>
        <a:ln xmlns:a="http://schemas.openxmlformats.org/drawingml/2006/main">
          <a:solidFill>
            <a:schemeClr val="tx1"/>
          </a:solidFill>
        </a:ln>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indent="0" defTabSz="914400" eaLnBrk="1" fontAlgn="auto" latinLnBrk="0" hangingPunct="1">
            <a:lnSpc>
              <a:spcPct val="100000"/>
            </a:lnSpc>
            <a:spcBef>
              <a:spcPts val="0"/>
            </a:spcBef>
            <a:spcAft>
              <a:spcPts val="0"/>
            </a:spcAft>
            <a:buClrTx/>
            <a:buSzTx/>
            <a:buFontTx/>
            <a:buNone/>
            <a:defRPr/>
          </a:pPr>
          <a:endParaRPr lang="pt-BR" sz="1100" b="0" i="0" baseline="0">
            <a:latin typeface="+mn-lt"/>
            <a:ea typeface="+mn-ea"/>
            <a:cs typeface="+mn-cs"/>
          </a:endParaRPr>
        </a:p>
        <a:p xmlns:a="http://schemas.openxmlformats.org/drawingml/2006/main">
          <a:endParaRPr lang="pt-BR" sz="1100"/>
        </a:p>
      </cdr:txBody>
    </cdr:sp>
  </cdr:relSizeAnchor>
  <cdr:relSizeAnchor xmlns:cdr="http://schemas.openxmlformats.org/drawingml/2006/chartDrawing">
    <cdr:from>
      <cdr:x>0.50328</cdr:x>
      <cdr:y>0.93688</cdr:y>
    </cdr:from>
    <cdr:to>
      <cdr:x>0.51901</cdr:x>
      <cdr:y>0.96293</cdr:y>
    </cdr:to>
    <cdr:sp macro="" textlink="">
      <cdr:nvSpPr>
        <cdr:cNvPr id="21" name="Triângulo isósceles 20"/>
        <cdr:cNvSpPr/>
      </cdr:nvSpPr>
      <cdr:spPr bwMode="auto">
        <a:xfrm xmlns:a="http://schemas.openxmlformats.org/drawingml/2006/main">
          <a:off x="4246409" y="3883594"/>
          <a:ext cx="132721" cy="107983"/>
        </a:xfrm>
        <a:prstGeom xmlns:a="http://schemas.openxmlformats.org/drawingml/2006/main" prst="triangle">
          <a:avLst/>
        </a:prstGeom>
        <a:solidFill xmlns:a="http://schemas.openxmlformats.org/drawingml/2006/main">
          <a:schemeClr val="tx1"/>
        </a:solidFill>
        <a:ln xmlns:a="http://schemas.openxmlformats.org/drawingml/2006/main" w="9525">
          <a:solidFill>
            <a:srgbClr val="000000"/>
          </a:solidFill>
          <a:prstDash val="solid"/>
          <a:round/>
          <a:headEnd/>
          <a:tailEnd/>
        </a:ln>
        <a:effectLst xmlns:a="http://schemas.openxmlformats.org/drawingml/2006/main"/>
      </cdr:spPr>
      <cdr:txBody>
        <a:bodyPr xmlns:a="http://schemas.openxmlformats.org/drawingml/2006/main" vertOverflow="clip" wrap="square" lIns="18288" tIns="0" rIns="0" bIns="0" upright="1"/>
        <a:lstStyle xmlns:a="http://schemas.openxmlformats.org/drawingml/2006/main"/>
        <a:p xmlns:a="http://schemas.openxmlformats.org/drawingml/2006/main">
          <a:endParaRPr lang="pt-BR"/>
        </a:p>
      </cdr:txBody>
    </cdr:sp>
  </cdr:relSizeAnchor>
  <cdr:relSizeAnchor xmlns:cdr="http://schemas.openxmlformats.org/drawingml/2006/chartDrawing">
    <cdr:from>
      <cdr:x>0.23283</cdr:x>
      <cdr:y>0.92844</cdr:y>
    </cdr:from>
    <cdr:to>
      <cdr:x>0.36596</cdr:x>
      <cdr:y>0.98833</cdr:y>
    </cdr:to>
    <cdr:sp macro="" textlink="">
      <cdr:nvSpPr>
        <cdr:cNvPr id="22" name="CaixaDeTexto 21"/>
        <cdr:cNvSpPr txBox="1"/>
      </cdr:nvSpPr>
      <cdr:spPr>
        <a:xfrm xmlns:a="http://schemas.openxmlformats.org/drawingml/2006/main">
          <a:off x="1306685" y="2582270"/>
          <a:ext cx="747143" cy="166572"/>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pt-BR" sz="1000">
              <a:latin typeface="Times New Roman" pitchFamily="18" charset="0"/>
              <a:cs typeface="Times New Roman" pitchFamily="18" charset="0"/>
            </a:rPr>
            <a:t>Tmax</a:t>
          </a:r>
        </a:p>
      </cdr:txBody>
    </cdr:sp>
  </cdr:relSizeAnchor>
  <cdr:relSizeAnchor xmlns:cdr="http://schemas.openxmlformats.org/drawingml/2006/chartDrawing">
    <cdr:from>
      <cdr:x>0.41534</cdr:x>
      <cdr:y>0.92746</cdr:y>
    </cdr:from>
    <cdr:to>
      <cdr:x>0.52898</cdr:x>
      <cdr:y>0.98858</cdr:y>
    </cdr:to>
    <cdr:sp macro="" textlink="">
      <cdr:nvSpPr>
        <cdr:cNvPr id="23" name="CaixaDeTexto 1"/>
        <cdr:cNvSpPr txBox="1"/>
      </cdr:nvSpPr>
      <cdr:spPr>
        <a:xfrm xmlns:a="http://schemas.openxmlformats.org/drawingml/2006/main">
          <a:off x="2330915" y="2579557"/>
          <a:ext cx="637763" cy="16999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t-BR" sz="1000">
              <a:latin typeface="Times New Roman" pitchFamily="18" charset="0"/>
              <a:cs typeface="Times New Roman" pitchFamily="18" charset="0"/>
            </a:rPr>
            <a:t>Tmin</a:t>
          </a:r>
        </a:p>
      </cdr:txBody>
    </cdr:sp>
  </cdr:relSizeAnchor>
  <cdr:relSizeAnchor xmlns:cdr="http://schemas.openxmlformats.org/drawingml/2006/chartDrawing">
    <cdr:from>
      <cdr:x>0.52425</cdr:x>
      <cdr:y>0.92344</cdr:y>
    </cdr:from>
    <cdr:to>
      <cdr:x>0.74827</cdr:x>
      <cdr:y>0.98334</cdr:y>
    </cdr:to>
    <cdr:sp macro="" textlink="">
      <cdr:nvSpPr>
        <cdr:cNvPr id="24" name="CaixaDeTexto 1"/>
        <cdr:cNvSpPr txBox="1"/>
      </cdr:nvSpPr>
      <cdr:spPr>
        <a:xfrm xmlns:a="http://schemas.openxmlformats.org/drawingml/2006/main">
          <a:off x="4423363" y="3827900"/>
          <a:ext cx="1890142" cy="24826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pt-BR" sz="1000">
              <a:latin typeface="Times New Roman" pitchFamily="18" charset="0"/>
              <a:cs typeface="Times New Roman" pitchFamily="18" charset="0"/>
            </a:rPr>
            <a:t>Precipitation (mm)</a:t>
          </a:r>
        </a:p>
      </cdr:txBody>
    </cdr:sp>
  </cdr:relSizeAnchor>
  <cdr:relSizeAnchor xmlns:cdr="http://schemas.openxmlformats.org/drawingml/2006/chartDrawing">
    <cdr:from>
      <cdr:x>0.51159</cdr:x>
      <cdr:y>0.86378</cdr:y>
    </cdr:from>
    <cdr:to>
      <cdr:x>0.604</cdr:x>
      <cdr:y>0.92287</cdr:y>
    </cdr:to>
    <cdr:sp macro="" textlink="">
      <cdr:nvSpPr>
        <cdr:cNvPr id="18" name="CaixaDeTexto 2"/>
        <cdr:cNvSpPr txBox="1"/>
      </cdr:nvSpPr>
      <cdr:spPr>
        <a:xfrm xmlns:a="http://schemas.openxmlformats.org/drawingml/2006/main">
          <a:off x="4316551" y="3580589"/>
          <a:ext cx="779734" cy="244921"/>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pt-BR" sz="1000">
              <a:latin typeface="Times New Roman" pitchFamily="18" charset="0"/>
              <a:cs typeface="Times New Roman" pitchFamily="18" charset="0"/>
            </a:rPr>
            <a:t>2023</a:t>
          </a:r>
        </a:p>
      </cdr:txBody>
    </cdr:sp>
  </cdr:relSizeAnchor>
  <cdr:relSizeAnchor xmlns:cdr="http://schemas.openxmlformats.org/drawingml/2006/chartDrawing">
    <cdr:from>
      <cdr:x>0.79216</cdr:x>
      <cdr:y>0.8683</cdr:y>
    </cdr:from>
    <cdr:to>
      <cdr:x>0.88482</cdr:x>
      <cdr:y>0.92739</cdr:y>
    </cdr:to>
    <cdr:sp macro="" textlink="">
      <cdr:nvSpPr>
        <cdr:cNvPr id="25" name="CaixaDeTexto 2"/>
        <cdr:cNvSpPr txBox="1"/>
      </cdr:nvSpPr>
      <cdr:spPr>
        <a:xfrm xmlns:a="http://schemas.openxmlformats.org/drawingml/2006/main">
          <a:off x="6683860" y="3599316"/>
          <a:ext cx="781818" cy="244921"/>
        </a:xfrm>
        <a:prstGeom xmlns:a="http://schemas.openxmlformats.org/drawingml/2006/main" prst="rect">
          <a:avLst/>
        </a:prstGeom>
        <a:noFill xmlns:a="http://schemas.openxmlformats.org/drawingml/2006/main"/>
        <a:ln xmlns:a="http://schemas.openxmlformats.org/drawingml/2006/main">
          <a:noFill/>
        </a:ln>
        <a:effectLst xmlns:a="http://schemas.openxmlformats.org/drawingml/2006/mai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tx1"/>
        </a:fontRef>
      </cdr:style>
      <cdr:txBody>
        <a:bodyPr xmlns:a="http://schemas.openxmlformats.org/drawingml/2006/main" wrap="square" rtlCol="0" anchor="t"/>
        <a:lstStyle xmlns:a="http://schemas.openxmlformats.org/drawingml/2006/main">
          <a:lvl1pPr marL="0" indent="0">
            <a:defRPr sz="1100">
              <a:solidFill>
                <a:schemeClr val="tx1"/>
              </a:solidFill>
              <a:latin typeface="+mn-lt"/>
              <a:ea typeface="+mn-ea"/>
              <a:cs typeface="+mn-cs"/>
            </a:defRPr>
          </a:lvl1pPr>
          <a:lvl2pPr marL="457200" indent="0">
            <a:defRPr sz="1100">
              <a:solidFill>
                <a:schemeClr val="tx1"/>
              </a:solidFill>
              <a:latin typeface="+mn-lt"/>
              <a:ea typeface="+mn-ea"/>
              <a:cs typeface="+mn-cs"/>
            </a:defRPr>
          </a:lvl2pPr>
          <a:lvl3pPr marL="914400" indent="0">
            <a:defRPr sz="1100">
              <a:solidFill>
                <a:schemeClr val="tx1"/>
              </a:solidFill>
              <a:latin typeface="+mn-lt"/>
              <a:ea typeface="+mn-ea"/>
              <a:cs typeface="+mn-cs"/>
            </a:defRPr>
          </a:lvl3pPr>
          <a:lvl4pPr marL="1371600" indent="0">
            <a:defRPr sz="1100">
              <a:solidFill>
                <a:schemeClr val="tx1"/>
              </a:solidFill>
              <a:latin typeface="+mn-lt"/>
              <a:ea typeface="+mn-ea"/>
              <a:cs typeface="+mn-cs"/>
            </a:defRPr>
          </a:lvl4pPr>
          <a:lvl5pPr marL="1828800" indent="0">
            <a:defRPr sz="1100">
              <a:solidFill>
                <a:schemeClr val="tx1"/>
              </a:solidFill>
              <a:latin typeface="+mn-lt"/>
              <a:ea typeface="+mn-ea"/>
              <a:cs typeface="+mn-cs"/>
            </a:defRPr>
          </a:lvl5pPr>
          <a:lvl6pPr marL="2286000" indent="0">
            <a:defRPr sz="1100">
              <a:solidFill>
                <a:schemeClr val="tx1"/>
              </a:solidFill>
              <a:latin typeface="+mn-lt"/>
              <a:ea typeface="+mn-ea"/>
              <a:cs typeface="+mn-cs"/>
            </a:defRPr>
          </a:lvl6pPr>
          <a:lvl7pPr marL="2743200" indent="0">
            <a:defRPr sz="1100">
              <a:solidFill>
                <a:schemeClr val="tx1"/>
              </a:solidFill>
              <a:latin typeface="+mn-lt"/>
              <a:ea typeface="+mn-ea"/>
              <a:cs typeface="+mn-cs"/>
            </a:defRPr>
          </a:lvl7pPr>
          <a:lvl8pPr marL="3200400" indent="0">
            <a:defRPr sz="1100">
              <a:solidFill>
                <a:schemeClr val="tx1"/>
              </a:solidFill>
              <a:latin typeface="+mn-lt"/>
              <a:ea typeface="+mn-ea"/>
              <a:cs typeface="+mn-cs"/>
            </a:defRPr>
          </a:lvl8pPr>
          <a:lvl9pPr marL="3657600" indent="0">
            <a:defRPr sz="1100">
              <a:solidFill>
                <a:schemeClr val="tx1"/>
              </a:solidFill>
              <a:latin typeface="+mn-lt"/>
              <a:ea typeface="+mn-ea"/>
              <a:cs typeface="+mn-cs"/>
            </a:defRPr>
          </a:lvl9pPr>
        </a:lstStyle>
        <a:p xmlns:a="http://schemas.openxmlformats.org/drawingml/2006/main">
          <a:r>
            <a:rPr lang="pt-BR" sz="1000">
              <a:latin typeface="Times New Roman" pitchFamily="18" charset="0"/>
              <a:cs typeface="Times New Roman" pitchFamily="18" charset="0"/>
            </a:rPr>
            <a:t>2024</a:t>
          </a:r>
        </a:p>
      </cdr:txBody>
    </cdr:sp>
  </cdr:relSizeAnchor>
  <cdr:relSizeAnchor xmlns:cdr="http://schemas.openxmlformats.org/drawingml/2006/chartDrawing">
    <cdr:from>
      <cdr:x>0.74006</cdr:x>
      <cdr:y>0.85905</cdr:y>
    </cdr:from>
    <cdr:to>
      <cdr:x>0.89366</cdr:x>
      <cdr:y>0.86099</cdr:y>
    </cdr:to>
    <cdr:sp macro="" textlink="">
      <cdr:nvSpPr>
        <cdr:cNvPr id="27" name="Conector reto 26"/>
        <cdr:cNvSpPr/>
      </cdr:nvSpPr>
      <cdr:spPr bwMode="auto">
        <a:xfrm xmlns:a="http://schemas.openxmlformats.org/drawingml/2006/main">
          <a:off x="6244242" y="3560969"/>
          <a:ext cx="1296025" cy="8041"/>
        </a:xfrm>
        <a:prstGeom xmlns:a="http://schemas.openxmlformats.org/drawingml/2006/main" prst="line">
          <a:avLst/>
        </a:prstGeom>
        <a:solidFill xmlns:a="http://schemas.openxmlformats.org/drawingml/2006/main">
          <a:srgbClr val="FFFFFF"/>
        </a:solidFill>
        <a:ln xmlns:a="http://schemas.openxmlformats.org/drawingml/2006/main" w="19050">
          <a:solidFill>
            <a:srgbClr val="000000"/>
          </a:solidFill>
          <a:prstDash val="solid"/>
          <a:round/>
          <a:headEnd/>
          <a:tailEnd/>
        </a:ln>
        <a:effectLst xmlns:a="http://schemas.openxmlformats.org/drawingml/2006/main"/>
      </cdr:spPr>
      <cdr:txBody>
        <a:bodyPr xmlns:a="http://schemas.openxmlformats.org/drawingml/2006/main" wrap="square" lIns="18288" tIns="0" rIns="0" bIns="0" upright="1"/>
        <a:lstStyle xmlns:a="http://schemas.openxmlformats.org/drawingml/2006/main"/>
        <a:p xmlns:a="http://schemas.openxmlformats.org/drawingml/2006/main">
          <a:endParaRPr lang="pt-B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P1awCb/g40+mMpvRaoWEF8Ztg==">CgMxLjAyDWguNWJkcHc5YjIzanYyDmguNzU2bm8wNzBoMHNpMg5oLmxmYnpjMjEydGFiNDgAciExeHhQNEUzUVRFN3Y4YjB1MzFROEZRaEJMM1ZCTFJLRWc=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2026-03-19T13:47:00Z</dcterms:created>
  <dc:creator>Juan Ramón Ferrer</dc:creator>
</cp:coreProperties>
</file>